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95D85" w14:textId="07E09A78" w:rsidR="00736291" w:rsidRPr="00FA41E5" w:rsidRDefault="00630311" w:rsidP="00FA41E5">
      <w:pPr>
        <w:spacing w:line="360" w:lineRule="auto"/>
        <w:jc w:val="center"/>
        <w:rPr>
          <w:rFonts w:ascii="Times New Roman" w:hAnsi="Times New Roman" w:cs="Times New Roman"/>
          <w:sz w:val="24"/>
          <w:szCs w:val="24"/>
          <w:u w:val="single"/>
        </w:rPr>
      </w:pPr>
      <w:bookmarkStart w:id="0" w:name="_Hlk61338500"/>
      <w:r>
        <w:rPr>
          <w:rFonts w:ascii="Times New Roman" w:hAnsi="Times New Roman" w:cs="Times New Roman"/>
          <w:sz w:val="24"/>
          <w:szCs w:val="24"/>
          <w:u w:val="single"/>
        </w:rPr>
        <w:t xml:space="preserve">Α. </w:t>
      </w:r>
      <w:r w:rsidR="003E2D52" w:rsidRPr="00FA41E5">
        <w:rPr>
          <w:rFonts w:ascii="Times New Roman" w:hAnsi="Times New Roman" w:cs="Times New Roman"/>
          <w:sz w:val="24"/>
          <w:szCs w:val="24"/>
          <w:u w:val="single"/>
        </w:rPr>
        <w:t>Προτεινόμενες ρυθμίσεις αναφορικά με τη διαχείριση των εισροών και εκροών του Ειδικού Λογαριασμού ΥΚΩ</w:t>
      </w:r>
      <w:r w:rsidR="00AA394A" w:rsidRPr="00FA41E5">
        <w:rPr>
          <w:rFonts w:ascii="Times New Roman" w:hAnsi="Times New Roman" w:cs="Times New Roman"/>
          <w:sz w:val="24"/>
          <w:szCs w:val="24"/>
          <w:u w:val="single"/>
        </w:rPr>
        <w:t xml:space="preserve"> στον</w:t>
      </w:r>
      <w:bookmarkEnd w:id="0"/>
      <w:r w:rsidR="00AA394A" w:rsidRPr="00FA41E5">
        <w:rPr>
          <w:rFonts w:ascii="Times New Roman" w:hAnsi="Times New Roman" w:cs="Times New Roman"/>
          <w:sz w:val="24"/>
          <w:szCs w:val="24"/>
          <w:u w:val="single"/>
        </w:rPr>
        <w:t xml:space="preserve"> </w:t>
      </w:r>
      <w:r w:rsidR="004B6CA6" w:rsidRPr="00FA41E5">
        <w:rPr>
          <w:rFonts w:ascii="Times New Roman" w:hAnsi="Times New Roman" w:cs="Times New Roman"/>
          <w:sz w:val="24"/>
          <w:szCs w:val="24"/>
          <w:u w:val="single"/>
        </w:rPr>
        <w:t xml:space="preserve">Κώδικα </w:t>
      </w:r>
      <w:r w:rsidR="00AA394A" w:rsidRPr="00FA41E5">
        <w:rPr>
          <w:rFonts w:ascii="Times New Roman" w:hAnsi="Times New Roman" w:cs="Times New Roman"/>
          <w:sz w:val="24"/>
          <w:szCs w:val="24"/>
          <w:u w:val="single"/>
        </w:rPr>
        <w:t>ΜΔΝ</w:t>
      </w:r>
    </w:p>
    <w:p w14:paraId="01F75104" w14:textId="470EE1E7" w:rsidR="005E6D99" w:rsidRPr="00B75EA1" w:rsidRDefault="005E6D99" w:rsidP="00DB673C">
      <w:pPr>
        <w:spacing w:before="120" w:after="120"/>
        <w:rPr>
          <w:rFonts w:ascii="Times New Roman" w:hAnsi="Times New Roman" w:cs="Times New Roman"/>
          <w:u w:val="single"/>
        </w:rPr>
      </w:pPr>
    </w:p>
    <w:p w14:paraId="034BCC2C" w14:textId="3398A4BC" w:rsidR="00BB3F2F" w:rsidRPr="00B75EA1" w:rsidRDefault="006E64F1" w:rsidP="00177E70">
      <w:pPr>
        <w:pStyle w:val="ListParagraph"/>
        <w:numPr>
          <w:ilvl w:val="0"/>
          <w:numId w:val="1"/>
        </w:numPr>
        <w:tabs>
          <w:tab w:val="left" w:pos="0"/>
          <w:tab w:val="left" w:pos="426"/>
        </w:tabs>
        <w:spacing w:before="120" w:after="120" w:line="276" w:lineRule="auto"/>
        <w:ind w:left="0" w:firstLine="0"/>
        <w:contextualSpacing w:val="0"/>
        <w:jc w:val="both"/>
        <w:rPr>
          <w:rFonts w:ascii="Times New Roman" w:hAnsi="Times New Roman" w:cs="Times New Roman"/>
        </w:rPr>
      </w:pPr>
      <w:r w:rsidRPr="00B75EA1">
        <w:rPr>
          <w:rFonts w:ascii="Times New Roman" w:hAnsi="Times New Roman" w:cs="Times New Roman"/>
          <w:b/>
        </w:rPr>
        <w:t>Η περ. (Λ-</w:t>
      </w:r>
      <w:r w:rsidR="00DD1562" w:rsidRPr="00B75EA1">
        <w:rPr>
          <w:rFonts w:ascii="Times New Roman" w:hAnsi="Times New Roman" w:cs="Times New Roman"/>
          <w:b/>
        </w:rPr>
        <w:t>Η</w:t>
      </w:r>
      <w:r w:rsidRPr="00B75EA1">
        <w:rPr>
          <w:rFonts w:ascii="Times New Roman" w:hAnsi="Times New Roman" w:cs="Times New Roman"/>
          <w:b/>
        </w:rPr>
        <w:t xml:space="preserve">) της παρ. 1 του άρθρου 170 του Κώδικα ΜΔΝ </w:t>
      </w:r>
      <w:r w:rsidR="00765593" w:rsidRPr="00B75EA1">
        <w:rPr>
          <w:rFonts w:ascii="Times New Roman" w:hAnsi="Times New Roman" w:cs="Times New Roman"/>
          <w:b/>
        </w:rPr>
        <w:t xml:space="preserve">τροποποιείται </w:t>
      </w:r>
      <w:r w:rsidRPr="00B75EA1">
        <w:rPr>
          <w:rFonts w:ascii="Times New Roman" w:hAnsi="Times New Roman" w:cs="Times New Roman"/>
          <w:b/>
        </w:rPr>
        <w:t>ως ακολούθως:</w:t>
      </w:r>
    </w:p>
    <w:p w14:paraId="3F2FB534" w14:textId="5DC41A74" w:rsidR="006E64F1" w:rsidRPr="00B75EA1" w:rsidRDefault="00D85A2C" w:rsidP="00D85A2C">
      <w:pPr>
        <w:pStyle w:val="ListParagraph"/>
        <w:tabs>
          <w:tab w:val="left" w:pos="0"/>
          <w:tab w:val="left" w:pos="426"/>
          <w:tab w:val="left" w:pos="1215"/>
        </w:tabs>
        <w:spacing w:before="120" w:after="120"/>
        <w:ind w:left="1215" w:hanging="1215"/>
        <w:contextualSpacing w:val="0"/>
        <w:jc w:val="both"/>
        <w:rPr>
          <w:rFonts w:ascii="Times New Roman" w:hAnsi="Times New Roman" w:cs="Times New Roman"/>
          <w:b/>
        </w:rPr>
      </w:pPr>
      <w:r w:rsidRPr="00B75EA1">
        <w:rPr>
          <w:rFonts w:ascii="Times New Roman" w:hAnsi="Times New Roman" w:cs="Times New Roman"/>
        </w:rPr>
        <w:t>«</w:t>
      </w:r>
      <w:r w:rsidR="006E64F1" w:rsidRPr="00B75EA1">
        <w:rPr>
          <w:rFonts w:ascii="Times New Roman" w:hAnsi="Times New Roman" w:cs="Times New Roman"/>
        </w:rPr>
        <w:t>(Λ-Η)</w:t>
      </w:r>
      <w:r w:rsidR="006E64F1" w:rsidRPr="00B75EA1">
        <w:rPr>
          <w:rFonts w:ascii="Times New Roman" w:hAnsi="Times New Roman" w:cs="Times New Roman"/>
        </w:rPr>
        <w:tab/>
        <w:t>Ειδικός Υπολογαριασμός για τις Υπηρεσίες Κοινής Ωφέλειας στα ΜΔΝ</w:t>
      </w:r>
      <w:r w:rsidR="007F1137" w:rsidRPr="00B75EA1">
        <w:rPr>
          <w:rFonts w:ascii="Times New Roman" w:hAnsi="Times New Roman" w:cs="Times New Roman"/>
        </w:rPr>
        <w:t xml:space="preserve"> (ΕΛΥΚΩ ΜΔΝ)</w:t>
      </w:r>
      <w:r w:rsidR="006E64F1" w:rsidRPr="00B75EA1">
        <w:rPr>
          <w:rFonts w:ascii="Times New Roman" w:hAnsi="Times New Roman" w:cs="Times New Roman"/>
        </w:rPr>
        <w:t>, με επιμέρους λογαριασμούς</w:t>
      </w:r>
      <w:r w:rsidR="007F1137" w:rsidRPr="00B75EA1">
        <w:rPr>
          <w:rFonts w:ascii="Times New Roman" w:hAnsi="Times New Roman" w:cs="Times New Roman"/>
        </w:rPr>
        <w:t xml:space="preserve"> </w:t>
      </w:r>
      <w:r w:rsidR="00A95D7D" w:rsidRPr="00B75EA1">
        <w:rPr>
          <w:rFonts w:ascii="Times New Roman" w:hAnsi="Times New Roman" w:cs="Times New Roman"/>
        </w:rPr>
        <w:t>ανά Συμμετέχοντα</w:t>
      </w:r>
      <w:r w:rsidR="00DD1562" w:rsidRPr="00B75EA1">
        <w:rPr>
          <w:rFonts w:ascii="Times New Roman" w:hAnsi="Times New Roman" w:cs="Times New Roman"/>
        </w:rPr>
        <w:t>.</w:t>
      </w:r>
      <w:r w:rsidRPr="00B75EA1">
        <w:rPr>
          <w:rFonts w:ascii="Times New Roman" w:hAnsi="Times New Roman" w:cs="Times New Roman"/>
        </w:rPr>
        <w:t>»</w:t>
      </w:r>
    </w:p>
    <w:p w14:paraId="2447698E" w14:textId="77777777" w:rsidR="006E64F1" w:rsidRPr="00B75EA1" w:rsidRDefault="006E64F1" w:rsidP="00DB673C">
      <w:pPr>
        <w:pStyle w:val="ListParagraph"/>
        <w:tabs>
          <w:tab w:val="left" w:pos="0"/>
          <w:tab w:val="left" w:pos="426"/>
          <w:tab w:val="left" w:pos="1215"/>
        </w:tabs>
        <w:spacing w:before="120" w:after="120"/>
        <w:ind w:left="0"/>
        <w:contextualSpacing w:val="0"/>
        <w:jc w:val="both"/>
        <w:rPr>
          <w:rFonts w:ascii="Times New Roman" w:hAnsi="Times New Roman" w:cs="Times New Roman"/>
          <w:b/>
        </w:rPr>
      </w:pPr>
    </w:p>
    <w:p w14:paraId="62A92202" w14:textId="01F4927F" w:rsidR="006E64F1" w:rsidRPr="00B75EA1" w:rsidRDefault="006E64F1" w:rsidP="00177E70">
      <w:pPr>
        <w:pStyle w:val="ListParagraph"/>
        <w:numPr>
          <w:ilvl w:val="0"/>
          <w:numId w:val="1"/>
        </w:numPr>
        <w:tabs>
          <w:tab w:val="left" w:pos="0"/>
          <w:tab w:val="left" w:pos="426"/>
        </w:tabs>
        <w:spacing w:before="120" w:after="120" w:line="276" w:lineRule="auto"/>
        <w:ind w:left="0" w:firstLine="0"/>
        <w:contextualSpacing w:val="0"/>
        <w:jc w:val="both"/>
        <w:rPr>
          <w:rFonts w:ascii="Times New Roman" w:hAnsi="Times New Roman" w:cs="Times New Roman"/>
          <w:b/>
        </w:rPr>
      </w:pPr>
      <w:r w:rsidRPr="00B75EA1">
        <w:rPr>
          <w:rFonts w:ascii="Times New Roman" w:hAnsi="Times New Roman" w:cs="Times New Roman"/>
          <w:b/>
        </w:rPr>
        <w:t>Το άρθρο 179 του Κώδικα ΜΔΝ αντικαθίσταται ως ακολούθως:</w:t>
      </w:r>
    </w:p>
    <w:p w14:paraId="18614A99" w14:textId="22ECDC0A" w:rsidR="006E64F1" w:rsidRPr="00B75EA1" w:rsidRDefault="00D85A2C" w:rsidP="00DB673C">
      <w:pPr>
        <w:pStyle w:val="ListParagraph"/>
        <w:tabs>
          <w:tab w:val="left" w:pos="0"/>
          <w:tab w:val="left" w:pos="426"/>
          <w:tab w:val="left" w:pos="1215"/>
        </w:tabs>
        <w:spacing w:before="120" w:after="120"/>
        <w:ind w:left="0"/>
        <w:contextualSpacing w:val="0"/>
        <w:jc w:val="both"/>
        <w:rPr>
          <w:rFonts w:ascii="Times New Roman" w:hAnsi="Times New Roman" w:cs="Times New Roman"/>
          <w:b/>
        </w:rPr>
      </w:pPr>
      <w:r w:rsidRPr="00B75EA1">
        <w:rPr>
          <w:rFonts w:ascii="Times New Roman" w:hAnsi="Times New Roman" w:cs="Times New Roman"/>
          <w:b/>
        </w:rPr>
        <w:t>«</w:t>
      </w:r>
      <w:r w:rsidR="006E64F1" w:rsidRPr="00B75EA1">
        <w:rPr>
          <w:rFonts w:ascii="Times New Roman" w:hAnsi="Times New Roman" w:cs="Times New Roman"/>
          <w:b/>
        </w:rPr>
        <w:t>Άρθρο 179 - Λογιστικές πράξεις</w:t>
      </w:r>
      <w:r w:rsidR="005D0947" w:rsidRPr="00B75EA1">
        <w:rPr>
          <w:rFonts w:ascii="Times New Roman" w:hAnsi="Times New Roman" w:cs="Times New Roman"/>
          <w:b/>
        </w:rPr>
        <w:t xml:space="preserve"> και εφαρμοστέο πλαίσιο για τη διαχείριση και εκκαθάριση του</w:t>
      </w:r>
      <w:r w:rsidR="006E64F1" w:rsidRPr="00B75EA1">
        <w:rPr>
          <w:rFonts w:ascii="Times New Roman" w:hAnsi="Times New Roman" w:cs="Times New Roman"/>
          <w:b/>
        </w:rPr>
        <w:t xml:space="preserve"> Ειδικ</w:t>
      </w:r>
      <w:r w:rsidR="005D0947" w:rsidRPr="00B75EA1">
        <w:rPr>
          <w:rFonts w:ascii="Times New Roman" w:hAnsi="Times New Roman" w:cs="Times New Roman"/>
          <w:b/>
        </w:rPr>
        <w:t>ού</w:t>
      </w:r>
      <w:r w:rsidR="006E64F1" w:rsidRPr="00B75EA1">
        <w:rPr>
          <w:rFonts w:ascii="Times New Roman" w:hAnsi="Times New Roman" w:cs="Times New Roman"/>
          <w:b/>
        </w:rPr>
        <w:t xml:space="preserve"> Υπολογαριασμ</w:t>
      </w:r>
      <w:r w:rsidR="005D0947" w:rsidRPr="00B75EA1">
        <w:rPr>
          <w:rFonts w:ascii="Times New Roman" w:hAnsi="Times New Roman" w:cs="Times New Roman"/>
          <w:b/>
        </w:rPr>
        <w:t>ού</w:t>
      </w:r>
      <w:r w:rsidR="006E64F1" w:rsidRPr="00B75EA1">
        <w:rPr>
          <w:rFonts w:ascii="Times New Roman" w:hAnsi="Times New Roman" w:cs="Times New Roman"/>
          <w:b/>
        </w:rPr>
        <w:t xml:space="preserve"> για τις Υπηρεσίες Κοινής Ωφέλειας στα ΜΔΝ</w:t>
      </w:r>
      <w:r w:rsidR="00026F88" w:rsidRPr="00B75EA1">
        <w:rPr>
          <w:rFonts w:ascii="Times New Roman" w:hAnsi="Times New Roman" w:cs="Times New Roman"/>
          <w:b/>
        </w:rPr>
        <w:t xml:space="preserve"> ΕΛΥΚΩ ΜΔΝ </w:t>
      </w:r>
      <w:r w:rsidR="006E64F1" w:rsidRPr="00B75EA1">
        <w:rPr>
          <w:rFonts w:ascii="Times New Roman" w:hAnsi="Times New Roman" w:cs="Times New Roman"/>
          <w:b/>
        </w:rPr>
        <w:t>(Λ-Η)</w:t>
      </w:r>
    </w:p>
    <w:p w14:paraId="3C74C53B" w14:textId="752F2387" w:rsidR="006E64F1" w:rsidRPr="00B75EA1" w:rsidRDefault="00F857EC" w:rsidP="00D85A2C">
      <w:pPr>
        <w:pStyle w:val="ListParagraph"/>
        <w:tabs>
          <w:tab w:val="left" w:pos="0"/>
          <w:tab w:val="left" w:pos="426"/>
          <w:tab w:val="left" w:pos="1215"/>
        </w:tabs>
        <w:spacing w:before="120" w:after="120"/>
        <w:ind w:left="0"/>
        <w:contextualSpacing w:val="0"/>
        <w:jc w:val="both"/>
        <w:rPr>
          <w:rFonts w:ascii="Times New Roman" w:hAnsi="Times New Roman" w:cs="Times New Roman"/>
        </w:rPr>
      </w:pPr>
      <w:r w:rsidRPr="00B75EA1">
        <w:rPr>
          <w:rFonts w:ascii="Times New Roman" w:hAnsi="Times New Roman" w:cs="Times New Roman"/>
        </w:rPr>
        <w:t xml:space="preserve">Η διαχείριση και η διαδικασία εκκαθάρισης του Ειδικού Υπολογαριασμού ΕΛΥΚΩ ΜΔΝ διέπεται από τις διατάξεις των άρθρων 144, 146 και 147 του Κώδικα Διαχείρισης του ΕΔΔΗΕ </w:t>
      </w:r>
      <w:r w:rsidR="00DC467A" w:rsidRPr="00B75EA1">
        <w:rPr>
          <w:rFonts w:ascii="Times New Roman" w:hAnsi="Times New Roman" w:cs="Times New Roman"/>
        </w:rPr>
        <w:t xml:space="preserve">σχετικά με </w:t>
      </w:r>
      <w:r w:rsidR="00DC64F4" w:rsidRPr="00B75EA1">
        <w:rPr>
          <w:rFonts w:ascii="Times New Roman" w:hAnsi="Times New Roman" w:cs="Times New Roman"/>
        </w:rPr>
        <w:t xml:space="preserve">το γενικό πλαίσιο της διαχείρισης των ΥΚΩ, </w:t>
      </w:r>
      <w:r w:rsidRPr="00B75EA1">
        <w:rPr>
          <w:rFonts w:ascii="Times New Roman" w:hAnsi="Times New Roman" w:cs="Times New Roman"/>
        </w:rPr>
        <w:t>καθώς και των άρθρων 183 και 184 του παρόντος Κώδικα περί μηνιαίας και ετήσιας εκκαθάρισης της αγοράς ΜΔΝ.</w:t>
      </w:r>
      <w:r w:rsidR="00D85A2C" w:rsidRPr="00B75EA1">
        <w:rPr>
          <w:rFonts w:ascii="Times New Roman" w:hAnsi="Times New Roman" w:cs="Times New Roman"/>
        </w:rPr>
        <w:t>»</w:t>
      </w:r>
    </w:p>
    <w:p w14:paraId="68150796" w14:textId="77777777" w:rsidR="00DB673C" w:rsidRPr="00B75EA1" w:rsidRDefault="00DB673C" w:rsidP="00DB673C">
      <w:pPr>
        <w:spacing w:before="120" w:after="120"/>
        <w:jc w:val="both"/>
        <w:rPr>
          <w:rFonts w:ascii="Times New Roman" w:hAnsi="Times New Roman" w:cs="Times New Roman"/>
          <w:b/>
        </w:rPr>
      </w:pPr>
    </w:p>
    <w:p w14:paraId="66BF40D9" w14:textId="1EA4CF95" w:rsidR="006E64F1" w:rsidRPr="00B75EA1" w:rsidRDefault="00BE2FBB" w:rsidP="00177E70">
      <w:pPr>
        <w:pStyle w:val="ListParagraph"/>
        <w:numPr>
          <w:ilvl w:val="0"/>
          <w:numId w:val="1"/>
        </w:numPr>
        <w:tabs>
          <w:tab w:val="left" w:pos="0"/>
          <w:tab w:val="left" w:pos="426"/>
          <w:tab w:val="left" w:pos="1215"/>
        </w:tabs>
        <w:spacing w:before="120" w:after="120" w:line="276" w:lineRule="auto"/>
        <w:ind w:left="0" w:firstLine="0"/>
        <w:contextualSpacing w:val="0"/>
        <w:jc w:val="both"/>
        <w:rPr>
          <w:rFonts w:ascii="Times New Roman" w:hAnsi="Times New Roman" w:cs="Times New Roman"/>
          <w:b/>
        </w:rPr>
      </w:pPr>
      <w:r w:rsidRPr="00B75EA1">
        <w:rPr>
          <w:rFonts w:ascii="Times New Roman" w:hAnsi="Times New Roman" w:cs="Times New Roman"/>
          <w:b/>
        </w:rPr>
        <w:t>Η παρ. 3 (α) τ</w:t>
      </w:r>
      <w:r w:rsidR="006E64F1" w:rsidRPr="00B75EA1">
        <w:rPr>
          <w:rFonts w:ascii="Times New Roman" w:hAnsi="Times New Roman" w:cs="Times New Roman"/>
          <w:b/>
        </w:rPr>
        <w:t>ο</w:t>
      </w:r>
      <w:r w:rsidRPr="00B75EA1">
        <w:rPr>
          <w:rFonts w:ascii="Times New Roman" w:hAnsi="Times New Roman" w:cs="Times New Roman"/>
          <w:b/>
        </w:rPr>
        <w:t>υ</w:t>
      </w:r>
      <w:r w:rsidR="006E64F1" w:rsidRPr="00B75EA1">
        <w:rPr>
          <w:rFonts w:ascii="Times New Roman" w:hAnsi="Times New Roman" w:cs="Times New Roman"/>
          <w:b/>
        </w:rPr>
        <w:t xml:space="preserve"> άρθρο</w:t>
      </w:r>
      <w:r w:rsidRPr="00B75EA1">
        <w:rPr>
          <w:rFonts w:ascii="Times New Roman" w:hAnsi="Times New Roman" w:cs="Times New Roman"/>
          <w:b/>
        </w:rPr>
        <w:t>υ</w:t>
      </w:r>
      <w:r w:rsidR="006E64F1" w:rsidRPr="00B75EA1">
        <w:rPr>
          <w:rFonts w:ascii="Times New Roman" w:hAnsi="Times New Roman" w:cs="Times New Roman"/>
          <w:b/>
        </w:rPr>
        <w:t xml:space="preserve"> 183 του Κώδικα ΜΔΝ </w:t>
      </w:r>
      <w:r w:rsidRPr="00B75EA1">
        <w:rPr>
          <w:rFonts w:ascii="Times New Roman" w:hAnsi="Times New Roman" w:cs="Times New Roman"/>
          <w:b/>
        </w:rPr>
        <w:t xml:space="preserve">τροποποιείται </w:t>
      </w:r>
      <w:r w:rsidR="006E64F1" w:rsidRPr="00B75EA1">
        <w:rPr>
          <w:rFonts w:ascii="Times New Roman" w:hAnsi="Times New Roman" w:cs="Times New Roman"/>
          <w:b/>
        </w:rPr>
        <w:t>ως ακολούθως:</w:t>
      </w:r>
    </w:p>
    <w:p w14:paraId="56ED67E9" w14:textId="77777777" w:rsidR="006E64F1" w:rsidRPr="00B75EA1" w:rsidRDefault="006E64F1" w:rsidP="00DB673C">
      <w:pPr>
        <w:pStyle w:val="ListParagraph"/>
        <w:tabs>
          <w:tab w:val="left" w:pos="0"/>
          <w:tab w:val="left" w:pos="426"/>
          <w:tab w:val="left" w:pos="1215"/>
        </w:tabs>
        <w:spacing w:before="120" w:after="120"/>
        <w:ind w:left="0"/>
        <w:contextualSpacing w:val="0"/>
        <w:jc w:val="both"/>
        <w:rPr>
          <w:rFonts w:ascii="Times New Roman" w:hAnsi="Times New Roman" w:cs="Times New Roman"/>
          <w:b/>
        </w:rPr>
      </w:pPr>
      <w:r w:rsidRPr="00B75EA1">
        <w:rPr>
          <w:rFonts w:ascii="Times New Roman" w:hAnsi="Times New Roman" w:cs="Times New Roman"/>
          <w:b/>
        </w:rPr>
        <w:t>«Άρθρο 183</w:t>
      </w:r>
      <w:r w:rsidRPr="00B75EA1">
        <w:rPr>
          <w:rFonts w:ascii="Times New Roman" w:hAnsi="Times New Roman" w:cs="Times New Roman"/>
          <w:b/>
        </w:rPr>
        <w:tab/>
        <w:t>Διαδικασία Μηνιαίας Εκκαθάρισης</w:t>
      </w:r>
    </w:p>
    <w:p w14:paraId="6314C096" w14:textId="385D4F03" w:rsidR="006E64F1" w:rsidRPr="00B75EA1" w:rsidRDefault="006E64F1" w:rsidP="001224D6">
      <w:pPr>
        <w:pStyle w:val="ListParagraph"/>
        <w:tabs>
          <w:tab w:val="left" w:pos="0"/>
          <w:tab w:val="left" w:pos="426"/>
          <w:tab w:val="left" w:pos="1215"/>
        </w:tabs>
        <w:spacing w:before="120" w:after="120"/>
        <w:ind w:left="0"/>
        <w:jc w:val="both"/>
        <w:rPr>
          <w:rFonts w:ascii="Times New Roman" w:hAnsi="Times New Roman" w:cs="Times New Roman"/>
        </w:rPr>
      </w:pPr>
      <w:r w:rsidRPr="00B75EA1">
        <w:rPr>
          <w:rFonts w:ascii="Times New Roman" w:hAnsi="Times New Roman" w:cs="Times New Roman"/>
        </w:rPr>
        <w:t>3.</w:t>
      </w:r>
      <w:r w:rsidRPr="00B75EA1">
        <w:rPr>
          <w:rFonts w:ascii="Times New Roman" w:hAnsi="Times New Roman" w:cs="Times New Roman"/>
        </w:rPr>
        <w:tab/>
        <w:t>Έως την</w:t>
      </w:r>
      <w:r w:rsidR="00D34F7A" w:rsidRPr="00B75EA1">
        <w:rPr>
          <w:rFonts w:ascii="Times New Roman" w:hAnsi="Times New Roman" w:cs="Times New Roman"/>
        </w:rPr>
        <w:t xml:space="preserve"> εικοστή πέμπτη (25η) </w:t>
      </w:r>
      <w:r w:rsidRPr="00B75EA1">
        <w:rPr>
          <w:rFonts w:ascii="Times New Roman" w:hAnsi="Times New Roman" w:cs="Times New Roman"/>
        </w:rPr>
        <w:t xml:space="preserve">ημέρα του μήνα που έπεται του μήνα στον οποίο αναφέρεται η Εκκαθάριση </w:t>
      </w:r>
      <w:r w:rsidR="0071020A" w:rsidRPr="00B75EA1">
        <w:rPr>
          <w:rFonts w:ascii="Times New Roman" w:hAnsi="Times New Roman" w:cs="Times New Roman"/>
        </w:rPr>
        <w:t xml:space="preserve">(«μήνας αναφοράς») </w:t>
      </w:r>
      <w:r w:rsidRPr="00B75EA1">
        <w:rPr>
          <w:rFonts w:ascii="Times New Roman" w:hAnsi="Times New Roman" w:cs="Times New Roman"/>
        </w:rPr>
        <w:t>ο Διαχειριστής ΜΔΝ καταγράφει τα ποσά που έχουν υπολογισθεί</w:t>
      </w:r>
      <w:r w:rsidR="00F9287A" w:rsidRPr="00B75EA1">
        <w:rPr>
          <w:rFonts w:ascii="Times New Roman" w:hAnsi="Times New Roman" w:cs="Times New Roman"/>
        </w:rPr>
        <w:t xml:space="preserve"> </w:t>
      </w:r>
      <w:r w:rsidRPr="00B75EA1">
        <w:rPr>
          <w:rFonts w:ascii="Times New Roman" w:hAnsi="Times New Roman" w:cs="Times New Roman"/>
        </w:rPr>
        <w:t>για πληρωμή ή είσπραξη για κάθε έναν από τους Συμμετέχοντες στην Αγορά ΜΔΝ και εκδίδει την Κατάσταση Μηνιαίας Εκκαθάρισης η οποία κοινοποιείται στους Συμμετέχοντες κατά το τμήμα που αφορά κάθε έναν από αυτούς</w:t>
      </w:r>
      <w:r w:rsidR="0004366E" w:rsidRPr="00B75EA1">
        <w:rPr>
          <w:rFonts w:ascii="Times New Roman" w:hAnsi="Times New Roman" w:cs="Times New Roman"/>
        </w:rPr>
        <w:t>, με εξαίρεση τις συναλλαγές των ΥΚΩ που περιγράφονται στις παραγράφους 8 έως 11 του παρ</w:t>
      </w:r>
      <w:r w:rsidR="00312ED8" w:rsidRPr="00B75EA1">
        <w:rPr>
          <w:rFonts w:ascii="Times New Roman" w:hAnsi="Times New Roman" w:cs="Times New Roman"/>
        </w:rPr>
        <w:t>όν</w:t>
      </w:r>
      <w:r w:rsidR="0004366E" w:rsidRPr="00B75EA1">
        <w:rPr>
          <w:rFonts w:ascii="Times New Roman" w:hAnsi="Times New Roman" w:cs="Times New Roman"/>
        </w:rPr>
        <w:t xml:space="preserve">τος. </w:t>
      </w:r>
    </w:p>
    <w:p w14:paraId="2E2D1E39" w14:textId="77777777" w:rsidR="006E64F1" w:rsidRPr="00B75EA1" w:rsidRDefault="006E64F1" w:rsidP="00DB673C">
      <w:pPr>
        <w:pStyle w:val="ListParagraph"/>
        <w:tabs>
          <w:tab w:val="left" w:pos="0"/>
          <w:tab w:val="left" w:pos="426"/>
          <w:tab w:val="left" w:pos="1215"/>
        </w:tabs>
        <w:spacing w:before="120" w:after="120"/>
        <w:ind w:left="0"/>
        <w:contextualSpacing w:val="0"/>
        <w:jc w:val="both"/>
        <w:rPr>
          <w:rFonts w:ascii="Times New Roman" w:hAnsi="Times New Roman" w:cs="Times New Roman"/>
        </w:rPr>
      </w:pPr>
      <w:r w:rsidRPr="00B75EA1">
        <w:rPr>
          <w:rFonts w:ascii="Times New Roman" w:hAnsi="Times New Roman" w:cs="Times New Roman"/>
        </w:rPr>
        <w:tab/>
        <w:t>Η Κατάσταση Μηνιαίας Εκκαθάρισης εκδίδεται για κάθε Σύστημα ΜΔΝ διακριτά, και περιλαμβάνει ιδίως:</w:t>
      </w:r>
    </w:p>
    <w:p w14:paraId="13ED417C" w14:textId="5CA9161C" w:rsidR="006E64F1" w:rsidRPr="00B75EA1" w:rsidRDefault="006E64F1" w:rsidP="00DB673C">
      <w:pPr>
        <w:pStyle w:val="ListParagraph"/>
        <w:tabs>
          <w:tab w:val="left" w:pos="0"/>
          <w:tab w:val="left" w:pos="426"/>
          <w:tab w:val="left" w:pos="1215"/>
        </w:tabs>
        <w:spacing w:before="120" w:after="120"/>
        <w:ind w:left="0"/>
        <w:contextualSpacing w:val="0"/>
        <w:jc w:val="both"/>
        <w:rPr>
          <w:rFonts w:ascii="Times New Roman" w:hAnsi="Times New Roman" w:cs="Times New Roman"/>
        </w:rPr>
      </w:pPr>
      <w:r w:rsidRPr="00B75EA1">
        <w:rPr>
          <w:rFonts w:ascii="Times New Roman" w:hAnsi="Times New Roman" w:cs="Times New Roman"/>
        </w:rPr>
        <w:t>α)</w:t>
      </w:r>
      <w:r w:rsidRPr="00B75EA1">
        <w:rPr>
          <w:rFonts w:ascii="Times New Roman" w:hAnsi="Times New Roman" w:cs="Times New Roman"/>
        </w:rPr>
        <w:tab/>
        <w:t xml:space="preserve">Τις χρεώσεις και πιστώσεις κάθε Συμμετέχοντα, αναλυτικά για κάθε επιμέρους εκκαθάριση, </w:t>
      </w:r>
      <w:r w:rsidR="00BE2FBB" w:rsidRPr="00B75EA1">
        <w:rPr>
          <w:rFonts w:ascii="Times New Roman" w:hAnsi="Times New Roman" w:cs="Times New Roman"/>
        </w:rPr>
        <w:t xml:space="preserve">με εξαίρεση </w:t>
      </w:r>
      <w:r w:rsidRPr="00B75EA1">
        <w:rPr>
          <w:rFonts w:ascii="Times New Roman" w:hAnsi="Times New Roman" w:cs="Times New Roman"/>
        </w:rPr>
        <w:t>τ</w:t>
      </w:r>
      <w:r w:rsidR="00BE2FBB" w:rsidRPr="00B75EA1">
        <w:rPr>
          <w:rFonts w:ascii="Times New Roman" w:hAnsi="Times New Roman" w:cs="Times New Roman"/>
        </w:rPr>
        <w:t>ις</w:t>
      </w:r>
      <w:r w:rsidRPr="00B75EA1">
        <w:rPr>
          <w:rFonts w:ascii="Times New Roman" w:hAnsi="Times New Roman" w:cs="Times New Roman"/>
        </w:rPr>
        <w:t xml:space="preserve"> </w:t>
      </w:r>
      <w:r w:rsidR="00765593" w:rsidRPr="00B75EA1">
        <w:rPr>
          <w:rFonts w:ascii="Times New Roman" w:hAnsi="Times New Roman" w:cs="Times New Roman"/>
        </w:rPr>
        <w:t>χρεοπιστώσεις</w:t>
      </w:r>
      <w:r w:rsidRPr="00B75EA1">
        <w:rPr>
          <w:rFonts w:ascii="Times New Roman" w:hAnsi="Times New Roman" w:cs="Times New Roman"/>
        </w:rPr>
        <w:t xml:space="preserve"> για τις ΥΚΩ </w:t>
      </w:r>
      <w:r w:rsidR="004F13D1" w:rsidRPr="00B75EA1">
        <w:rPr>
          <w:rFonts w:ascii="Times New Roman" w:hAnsi="Times New Roman" w:cs="Times New Roman"/>
        </w:rPr>
        <w:t xml:space="preserve">για τις οποίες </w:t>
      </w:r>
      <w:r w:rsidR="00765593" w:rsidRPr="00B75EA1">
        <w:rPr>
          <w:rFonts w:ascii="Times New Roman" w:hAnsi="Times New Roman" w:cs="Times New Roman"/>
        </w:rPr>
        <w:t>εφαρμόζεται η διαδικασία τ</w:t>
      </w:r>
      <w:r w:rsidR="004F13D1" w:rsidRPr="00B75EA1">
        <w:rPr>
          <w:rFonts w:ascii="Times New Roman" w:hAnsi="Times New Roman" w:cs="Times New Roman"/>
        </w:rPr>
        <w:t>ης</w:t>
      </w:r>
      <w:r w:rsidRPr="00B75EA1">
        <w:rPr>
          <w:rFonts w:ascii="Times New Roman" w:hAnsi="Times New Roman" w:cs="Times New Roman"/>
        </w:rPr>
        <w:t xml:space="preserve"> παρ</w:t>
      </w:r>
      <w:r w:rsidR="004F13D1" w:rsidRPr="00B75EA1">
        <w:rPr>
          <w:rFonts w:ascii="Times New Roman" w:hAnsi="Times New Roman" w:cs="Times New Roman"/>
        </w:rPr>
        <w:t>α</w:t>
      </w:r>
      <w:r w:rsidRPr="00B75EA1">
        <w:rPr>
          <w:rFonts w:ascii="Times New Roman" w:hAnsi="Times New Roman" w:cs="Times New Roman"/>
        </w:rPr>
        <w:t>γρ</w:t>
      </w:r>
      <w:r w:rsidR="004F13D1" w:rsidRPr="00B75EA1">
        <w:rPr>
          <w:rFonts w:ascii="Times New Roman" w:hAnsi="Times New Roman" w:cs="Times New Roman"/>
        </w:rPr>
        <w:t>ά</w:t>
      </w:r>
      <w:r w:rsidRPr="00B75EA1">
        <w:rPr>
          <w:rFonts w:ascii="Times New Roman" w:hAnsi="Times New Roman" w:cs="Times New Roman"/>
        </w:rPr>
        <w:t>φο</w:t>
      </w:r>
      <w:r w:rsidR="004F13D1" w:rsidRPr="00B75EA1">
        <w:rPr>
          <w:rFonts w:ascii="Times New Roman" w:hAnsi="Times New Roman" w:cs="Times New Roman"/>
        </w:rPr>
        <w:t>υ</w:t>
      </w:r>
      <w:r w:rsidRPr="00B75EA1">
        <w:rPr>
          <w:rFonts w:ascii="Times New Roman" w:hAnsi="Times New Roman" w:cs="Times New Roman"/>
        </w:rPr>
        <w:t xml:space="preserve"> 8 </w:t>
      </w:r>
      <w:r w:rsidR="004F13D1" w:rsidRPr="00B75EA1">
        <w:rPr>
          <w:rFonts w:ascii="Times New Roman" w:hAnsi="Times New Roman" w:cs="Times New Roman"/>
        </w:rPr>
        <w:t>του παρόντος</w:t>
      </w:r>
      <w:r w:rsidR="00765593" w:rsidRPr="00B75EA1">
        <w:rPr>
          <w:rFonts w:ascii="Times New Roman" w:hAnsi="Times New Roman" w:cs="Times New Roman"/>
        </w:rPr>
        <w:t>,</w:t>
      </w:r>
      <w:r w:rsidR="004F13D1" w:rsidRPr="00B75EA1">
        <w:rPr>
          <w:rFonts w:ascii="Times New Roman" w:hAnsi="Times New Roman" w:cs="Times New Roman"/>
        </w:rPr>
        <w:t xml:space="preserve"> </w:t>
      </w:r>
      <w:r w:rsidRPr="00B75EA1">
        <w:rPr>
          <w:rFonts w:ascii="Times New Roman" w:hAnsi="Times New Roman" w:cs="Times New Roman"/>
        </w:rPr>
        <w:t xml:space="preserve">και των κυρώσεων που εγγράφονται διακριτά. Για τις Συμβατικές Μονάδες οι </w:t>
      </w:r>
      <w:r w:rsidR="00E002DE" w:rsidRPr="00B75EA1">
        <w:rPr>
          <w:rFonts w:ascii="Times New Roman" w:hAnsi="Times New Roman" w:cs="Times New Roman"/>
        </w:rPr>
        <w:t>χρεοπιστώσεις</w:t>
      </w:r>
      <w:r w:rsidRPr="00B75EA1">
        <w:rPr>
          <w:rFonts w:ascii="Times New Roman" w:hAnsi="Times New Roman" w:cs="Times New Roman"/>
        </w:rPr>
        <w:t xml:space="preserve"> που αφορούν στην αγοραπωλησία ενέργειας καταγράφονται ανά Περίοδο Κατανομής κάθε Ημέρας Κατανομής, ενώ οι λοιπές </w:t>
      </w:r>
      <w:r w:rsidR="00E002DE" w:rsidRPr="00B75EA1">
        <w:rPr>
          <w:rFonts w:ascii="Times New Roman" w:hAnsi="Times New Roman" w:cs="Times New Roman"/>
        </w:rPr>
        <w:t>χρεοπιστώσεις</w:t>
      </w:r>
      <w:r w:rsidRPr="00B75EA1">
        <w:rPr>
          <w:rFonts w:ascii="Times New Roman" w:hAnsi="Times New Roman" w:cs="Times New Roman"/>
        </w:rPr>
        <w:t xml:space="preserve"> τους, καθώς και οι </w:t>
      </w:r>
      <w:r w:rsidR="00E002DE" w:rsidRPr="00B75EA1">
        <w:rPr>
          <w:rFonts w:ascii="Times New Roman" w:hAnsi="Times New Roman" w:cs="Times New Roman"/>
        </w:rPr>
        <w:t>χρεοπιστώσεις</w:t>
      </w:r>
      <w:r w:rsidRPr="00B75EA1">
        <w:rPr>
          <w:rFonts w:ascii="Times New Roman" w:hAnsi="Times New Roman" w:cs="Times New Roman"/>
        </w:rPr>
        <w:t xml:space="preserve"> για όλες τις υπόλοιπες Μονάδες παραγωγής καταγράφονται συνολικά ανά μήνα εκκαθάρισης. Για τους Παραγωγούς, οι εγγραφές είναι διακριτές για κάθε Μονάδα, ενώ για τους Εκπροσώπους Φορτίου, για τους Μετρητές που εκπροσωπούν, ανά κατηγορία Μετρητή.</w:t>
      </w:r>
      <w:r w:rsidR="001328D4" w:rsidRPr="00B75EA1">
        <w:rPr>
          <w:rFonts w:ascii="Times New Roman" w:hAnsi="Times New Roman" w:cs="Times New Roman"/>
        </w:rPr>
        <w:t xml:space="preserve"> [...]</w:t>
      </w:r>
      <w:r w:rsidR="00D85A2C" w:rsidRPr="00B75EA1">
        <w:rPr>
          <w:rFonts w:ascii="Times New Roman" w:hAnsi="Times New Roman" w:cs="Times New Roman"/>
        </w:rPr>
        <w:t>»</w:t>
      </w:r>
    </w:p>
    <w:p w14:paraId="78296535" w14:textId="33BC3883" w:rsidR="003118CA" w:rsidRPr="00B75EA1" w:rsidRDefault="003118CA" w:rsidP="003118CA">
      <w:pPr>
        <w:pStyle w:val="ListParagraph"/>
        <w:numPr>
          <w:ilvl w:val="0"/>
          <w:numId w:val="1"/>
        </w:numPr>
        <w:tabs>
          <w:tab w:val="left" w:pos="0"/>
          <w:tab w:val="left" w:pos="426"/>
          <w:tab w:val="left" w:pos="1215"/>
        </w:tabs>
        <w:spacing w:before="120" w:after="120" w:line="276" w:lineRule="auto"/>
        <w:ind w:left="0" w:firstLine="0"/>
        <w:contextualSpacing w:val="0"/>
        <w:jc w:val="both"/>
        <w:rPr>
          <w:rFonts w:ascii="Times New Roman" w:hAnsi="Times New Roman" w:cs="Times New Roman"/>
          <w:b/>
        </w:rPr>
      </w:pPr>
      <w:r w:rsidRPr="00B75EA1">
        <w:rPr>
          <w:rFonts w:ascii="Times New Roman" w:hAnsi="Times New Roman" w:cs="Times New Roman"/>
          <w:b/>
        </w:rPr>
        <w:t>Προστίθενται νέες παράγραφοι 8, 9, 10 και 11 στο άρθρο 183 του Κώδικα ΜΔΝ ως ακολούθως και οι υφιστάμενες παράγραφοι 8 έως 13 αναριθμούνται σε παρ. 12 έως 17:</w:t>
      </w:r>
    </w:p>
    <w:p w14:paraId="671C96EA" w14:textId="617BA661" w:rsidR="003118CA" w:rsidRPr="00B75EA1" w:rsidRDefault="003118CA" w:rsidP="003118CA">
      <w:pPr>
        <w:pStyle w:val="ListParagraph"/>
        <w:tabs>
          <w:tab w:val="left" w:pos="0"/>
          <w:tab w:val="left" w:pos="426"/>
          <w:tab w:val="left" w:pos="1215"/>
        </w:tabs>
        <w:spacing w:before="120" w:after="120" w:line="276" w:lineRule="auto"/>
        <w:ind w:left="0"/>
        <w:contextualSpacing w:val="0"/>
        <w:jc w:val="both"/>
        <w:rPr>
          <w:rFonts w:ascii="Times New Roman" w:eastAsia="Times New Roman" w:hAnsi="Times New Roman" w:cs="Times New Roman"/>
          <w:lang w:eastAsia="el-GR"/>
        </w:rPr>
      </w:pPr>
      <w:r w:rsidRPr="00B75EA1">
        <w:rPr>
          <w:rFonts w:ascii="Times New Roman" w:hAnsi="Times New Roman" w:cs="Times New Roman"/>
        </w:rPr>
        <w:t>«8.</w:t>
      </w:r>
      <w:r w:rsidRPr="00B75EA1">
        <w:rPr>
          <w:rFonts w:ascii="Times New Roman" w:hAnsi="Times New Roman" w:cs="Times New Roman"/>
        </w:rPr>
        <w:tab/>
      </w:r>
      <w:r w:rsidRPr="00B75EA1">
        <w:rPr>
          <w:rFonts w:ascii="Times New Roman" w:eastAsia="Times New Roman" w:hAnsi="Times New Roman" w:cs="Times New Roman"/>
          <w:lang w:eastAsia="el-GR"/>
        </w:rPr>
        <w:t>Στο πλαίσιο της Μηνιαίας Εκκαθάρισης</w:t>
      </w:r>
      <w:r w:rsidR="00FA41E5">
        <w:rPr>
          <w:rFonts w:ascii="Times New Roman" w:eastAsia="Times New Roman" w:hAnsi="Times New Roman" w:cs="Times New Roman"/>
          <w:lang w:eastAsia="el-GR"/>
        </w:rPr>
        <w:t>,</w:t>
      </w:r>
      <w:r w:rsidRPr="00B75EA1" w:rsidDel="007121C1">
        <w:rPr>
          <w:rFonts w:ascii="Times New Roman" w:hAnsi="Times New Roman" w:cs="Times New Roman"/>
        </w:rPr>
        <w:t xml:space="preserve"> </w:t>
      </w:r>
      <w:r w:rsidRPr="00B75EA1">
        <w:rPr>
          <w:rFonts w:ascii="Times New Roman" w:hAnsi="Times New Roman" w:cs="Times New Roman"/>
        </w:rPr>
        <w:t>ειδικά για τις συναλλαγές που αφορούν στις Υπηρεσίες Κοινής Ωφέλειας, ο Διαχειριστής ΜΔΝ,</w:t>
      </w:r>
      <w:r w:rsidRPr="00B75EA1">
        <w:rPr>
          <w:rFonts w:ascii="Times New Roman" w:eastAsia="Times New Roman" w:hAnsi="Times New Roman" w:cs="Times New Roman"/>
          <w:lang w:eastAsia="el-GR"/>
        </w:rPr>
        <w:t xml:space="preserve"> υπό την ιδιότητά του ως Διαχειριστής ΥΚΩ,</w:t>
      </w:r>
      <w:r w:rsidRPr="00B75EA1">
        <w:rPr>
          <w:rFonts w:ascii="Times New Roman" w:hAnsi="Times New Roman" w:cs="Times New Roman"/>
        </w:rPr>
        <w:t xml:space="preserve"> εκδίδει και </w:t>
      </w:r>
      <w:r w:rsidRPr="00B75EA1">
        <w:rPr>
          <w:rFonts w:ascii="Times New Roman" w:eastAsia="Times New Roman" w:hAnsi="Times New Roman" w:cs="Times New Roman"/>
          <w:lang w:eastAsia="el-GR"/>
        </w:rPr>
        <w:t xml:space="preserve">αποστέλλει σε κάθε Εκπρόσωπο Φορτίου «Ενημερωτικό Σημείωμα Μηνιαίας Εκκαθάρισης ΥΚΩ», σύμφωνα και με τα προβλεπόμενα για το Διασυνδεδεμένο Σύστημα στην παρ. 2 του άρθρου 148 του Κώδικα Διαχείρισης ΕΔΔΗΕ, έως την τελευταία </w:t>
      </w:r>
      <w:r w:rsidRPr="00B75EA1">
        <w:rPr>
          <w:rFonts w:ascii="Times New Roman" w:eastAsia="Times New Roman" w:hAnsi="Times New Roman" w:cs="Times New Roman"/>
          <w:lang w:eastAsia="el-GR"/>
        </w:rPr>
        <w:lastRenderedPageBreak/>
        <w:t>ημέρα του επόμενου ημερολογιακού μήνα από το μήνα αναφοράς. Το Ενημερωτικό Σημείωμα περιλαμβάνει ιδίως:</w:t>
      </w:r>
    </w:p>
    <w:p w14:paraId="4ED6882B" w14:textId="77777777" w:rsidR="003118CA" w:rsidRPr="00B75EA1" w:rsidRDefault="003118CA" w:rsidP="003118CA">
      <w:pPr>
        <w:pStyle w:val="ListParagraph"/>
        <w:spacing w:before="120" w:after="120" w:line="276" w:lineRule="auto"/>
        <w:ind w:left="0"/>
        <w:contextualSpacing w:val="0"/>
        <w:jc w:val="both"/>
        <w:rPr>
          <w:rFonts w:ascii="Times New Roman" w:eastAsia="Times New Roman" w:hAnsi="Times New Roman" w:cs="Times New Roman"/>
          <w:lang w:eastAsia="el-GR"/>
        </w:rPr>
      </w:pPr>
      <w:r w:rsidRPr="00B75EA1">
        <w:rPr>
          <w:rFonts w:ascii="Times New Roman" w:eastAsia="Times New Roman" w:hAnsi="Times New Roman" w:cs="Times New Roman"/>
          <w:lang w:eastAsia="el-GR"/>
        </w:rPr>
        <w:t>α) Το ποσό των χρεώσεων ΥΚΩ για τους Πελάτες του Εκπροσώπου Φορτίου ανά κατηγορία χρέωσης, καθώς και το συνολικό ποσό της χρέωσής του για τον προηγούμενο μήνα,</w:t>
      </w:r>
    </w:p>
    <w:p w14:paraId="1732A873" w14:textId="77777777" w:rsidR="003118CA" w:rsidRPr="00B75EA1" w:rsidRDefault="003118CA" w:rsidP="003118CA">
      <w:pPr>
        <w:pStyle w:val="ListParagraph"/>
        <w:spacing w:before="120" w:after="120" w:line="276" w:lineRule="auto"/>
        <w:ind w:left="0"/>
        <w:contextualSpacing w:val="0"/>
        <w:jc w:val="both"/>
        <w:rPr>
          <w:rFonts w:ascii="Times New Roman" w:eastAsia="Times New Roman" w:hAnsi="Times New Roman" w:cs="Times New Roman"/>
          <w:lang w:eastAsia="el-GR"/>
        </w:rPr>
      </w:pPr>
      <w:r w:rsidRPr="00B75EA1">
        <w:rPr>
          <w:rFonts w:ascii="Times New Roman" w:eastAsia="Times New Roman" w:hAnsi="Times New Roman" w:cs="Times New Roman"/>
          <w:lang w:eastAsia="el-GR"/>
        </w:rPr>
        <w:t>β) Το ποσό της πίστωσης που προκύπτει από τα προσωρινά μηνιαία ανταλλάγματα ΥΚΩ του προηγούμενου μήνα,</w:t>
      </w:r>
    </w:p>
    <w:p w14:paraId="0D74FA8E" w14:textId="77535437" w:rsidR="003118CA" w:rsidRPr="00B75EA1" w:rsidRDefault="003118CA" w:rsidP="00EE5C4A">
      <w:pPr>
        <w:pStyle w:val="ListParagraph"/>
        <w:spacing w:before="120" w:after="120" w:line="276" w:lineRule="auto"/>
        <w:ind w:left="0"/>
        <w:contextualSpacing w:val="0"/>
        <w:jc w:val="both"/>
        <w:rPr>
          <w:rFonts w:ascii="Times New Roman" w:eastAsia="Times New Roman" w:hAnsi="Times New Roman" w:cs="Times New Roman"/>
          <w:lang w:eastAsia="el-GR"/>
        </w:rPr>
      </w:pPr>
      <w:r w:rsidRPr="00B75EA1">
        <w:rPr>
          <w:rFonts w:ascii="Times New Roman" w:eastAsia="Times New Roman" w:hAnsi="Times New Roman" w:cs="Times New Roman"/>
          <w:lang w:eastAsia="el-GR"/>
        </w:rPr>
        <w:t xml:space="preserve">γ) Το ποσό της χρέωσης ή πίστωσης του Εκπροσώπου Φορτίου ανά κατηγορία χρέωσης/ αντάλλαγμα ΥΚΩ, καθώς και το συνολικό ποσό της χρέωσης ή πίστωσής του από τυχόν διορθωτική εκκαθάριση προηγούμενων μηνών, λαμβάνοντας υπόψη </w:t>
      </w:r>
      <w:r w:rsidR="00E21727" w:rsidRPr="00B75EA1">
        <w:rPr>
          <w:rFonts w:ascii="Times New Roman" w:eastAsia="Times New Roman" w:hAnsi="Times New Roman" w:cs="Times New Roman"/>
          <w:lang w:eastAsia="el-GR"/>
        </w:rPr>
        <w:t>τα οριζόμενα σ</w:t>
      </w:r>
      <w:r w:rsidRPr="00B75EA1">
        <w:rPr>
          <w:rFonts w:ascii="Times New Roman" w:eastAsia="Times New Roman" w:hAnsi="Times New Roman" w:cs="Times New Roman"/>
          <w:lang w:eastAsia="el-GR"/>
        </w:rPr>
        <w:t>την ειδική μεθοδολογία της παρ.10 του άρθρου 55 του ν.</w:t>
      </w:r>
      <w:r w:rsidR="00E21727" w:rsidRPr="00B75EA1">
        <w:rPr>
          <w:rFonts w:ascii="Times New Roman" w:eastAsia="Times New Roman" w:hAnsi="Times New Roman" w:cs="Times New Roman"/>
          <w:lang w:eastAsia="el-GR"/>
        </w:rPr>
        <w:t xml:space="preserve"> </w:t>
      </w:r>
      <w:r w:rsidRPr="00B75EA1">
        <w:rPr>
          <w:rFonts w:ascii="Times New Roman" w:eastAsia="Times New Roman" w:hAnsi="Times New Roman" w:cs="Times New Roman"/>
          <w:lang w:eastAsia="el-GR"/>
        </w:rPr>
        <w:t xml:space="preserve">4001/2011. </w:t>
      </w:r>
    </w:p>
    <w:p w14:paraId="5BBCC498" w14:textId="77777777" w:rsidR="003118CA" w:rsidRPr="00B75EA1" w:rsidRDefault="003118CA" w:rsidP="003118CA">
      <w:pPr>
        <w:pStyle w:val="ListParagraph"/>
        <w:spacing w:before="120" w:after="120" w:line="276" w:lineRule="auto"/>
        <w:ind w:left="0"/>
        <w:contextualSpacing w:val="0"/>
        <w:jc w:val="both"/>
        <w:rPr>
          <w:rFonts w:ascii="Times New Roman" w:eastAsia="Times New Roman" w:hAnsi="Times New Roman" w:cs="Times New Roman"/>
          <w:lang w:eastAsia="el-GR"/>
        </w:rPr>
      </w:pPr>
      <w:r w:rsidRPr="00B75EA1">
        <w:rPr>
          <w:rFonts w:ascii="Times New Roman" w:eastAsia="Times New Roman" w:hAnsi="Times New Roman" w:cs="Times New Roman"/>
          <w:lang w:eastAsia="el-GR"/>
        </w:rPr>
        <w:t>δ) Την προθεσμία εξόφλησης εντός της οποίας υποχρεούται ο Εκπρόσωπος Φορτίου να καταβάλλει στον τραπεζικό λογαριασμό του Διαχειριστή ΥΚΩ το τυχόν χρεωστικό υπόλοιπο που προκύπτει από τον συνυπολογισμό των στοιχείων α, β και γ, και</w:t>
      </w:r>
    </w:p>
    <w:p w14:paraId="73CEDF18" w14:textId="77777777" w:rsidR="003118CA" w:rsidRPr="00B75EA1" w:rsidRDefault="003118CA" w:rsidP="003118CA">
      <w:pPr>
        <w:pStyle w:val="ListParagraph"/>
        <w:spacing w:before="120" w:after="120" w:line="276" w:lineRule="auto"/>
        <w:ind w:left="0"/>
        <w:contextualSpacing w:val="0"/>
        <w:jc w:val="both"/>
        <w:rPr>
          <w:rFonts w:ascii="Times New Roman" w:eastAsia="Times New Roman" w:hAnsi="Times New Roman" w:cs="Times New Roman"/>
          <w:lang w:eastAsia="el-GR"/>
        </w:rPr>
      </w:pPr>
      <w:r w:rsidRPr="00B75EA1">
        <w:rPr>
          <w:rFonts w:ascii="Times New Roman" w:hAnsi="Times New Roman" w:cs="Times New Roman"/>
        </w:rPr>
        <w:t xml:space="preserve">ε) </w:t>
      </w:r>
      <w:r w:rsidRPr="00B75EA1">
        <w:rPr>
          <w:rFonts w:ascii="Times New Roman" w:eastAsia="Times New Roman" w:hAnsi="Times New Roman" w:cs="Times New Roman"/>
          <w:lang w:eastAsia="el-GR"/>
        </w:rPr>
        <w:t>Τα δεδομένα των μετρήσεων με βάση τα οποία υπολογίζονται οι χρεώσεις και πιστώσεις των στοιχείων α, β και γ.</w:t>
      </w:r>
    </w:p>
    <w:p w14:paraId="6251A0CA" w14:textId="77777777" w:rsidR="003118CA" w:rsidRPr="00B75EA1" w:rsidRDefault="003118CA" w:rsidP="003118CA">
      <w:pPr>
        <w:pStyle w:val="ListParagraph"/>
        <w:spacing w:before="120" w:after="120" w:line="276" w:lineRule="auto"/>
        <w:ind w:left="0"/>
        <w:contextualSpacing w:val="0"/>
        <w:jc w:val="both"/>
        <w:rPr>
          <w:rFonts w:ascii="Times New Roman" w:eastAsia="Times New Roman" w:hAnsi="Times New Roman" w:cs="Times New Roman"/>
          <w:lang w:eastAsia="el-GR"/>
        </w:rPr>
      </w:pPr>
      <w:r w:rsidRPr="00B75EA1">
        <w:rPr>
          <w:rFonts w:ascii="Times New Roman" w:hAnsi="Times New Roman" w:cs="Times New Roman"/>
        </w:rPr>
        <w:t xml:space="preserve">9. </w:t>
      </w:r>
      <w:r w:rsidRPr="00B75EA1">
        <w:rPr>
          <w:rFonts w:ascii="Times New Roman" w:eastAsia="Times New Roman" w:hAnsi="Times New Roman" w:cs="Times New Roman"/>
          <w:lang w:eastAsia="el-GR"/>
        </w:rPr>
        <w:t xml:space="preserve">Για τον προσδιορισμό του ύψους των χρεώσεων κατά τη διαδικασία Μηνιαίας Εκκαθάρισης, ο Διαχειριστής ΜΔΝ υπολογίζει, βάσει εγκεκριμένων από τη ΡΑΕ μεθοδολογιών, την πίστωση (Αντάλλαγμα ΥΚΩ) που αντιστοιχεί σε κάθε Εκπρόσωπο Φορτίου για την παροχή των ΥΚΩ στα ΜΔΝ ως το άθροισμα: </w:t>
      </w:r>
    </w:p>
    <w:p w14:paraId="709255FF" w14:textId="77777777" w:rsidR="003118CA" w:rsidRPr="00B75EA1" w:rsidRDefault="003118CA" w:rsidP="003118CA">
      <w:pPr>
        <w:pStyle w:val="ListParagraph"/>
        <w:spacing w:before="120" w:after="120" w:line="276" w:lineRule="auto"/>
        <w:ind w:left="0"/>
        <w:contextualSpacing w:val="0"/>
        <w:jc w:val="both"/>
        <w:rPr>
          <w:rFonts w:ascii="Times New Roman" w:hAnsi="Times New Roman" w:cs="Times New Roman"/>
        </w:rPr>
      </w:pPr>
      <w:r w:rsidRPr="00B75EA1">
        <w:rPr>
          <w:rFonts w:ascii="Times New Roman" w:eastAsia="Times New Roman" w:hAnsi="Times New Roman" w:cs="Times New Roman"/>
          <w:lang w:eastAsia="el-GR"/>
        </w:rPr>
        <w:t>α) της πίστωσης που αντιστοιχεί σε κάθε Εκπρόσωπο Φορτίου ως αντάλλαγμα για την παροχή της υπηρεσίας Κοινωνικού Οικιακού Τιμολογίου (ΚΟΤ),</w:t>
      </w:r>
    </w:p>
    <w:p w14:paraId="38FA1811" w14:textId="77777777" w:rsidR="003118CA" w:rsidRPr="00B75EA1" w:rsidRDefault="003118CA" w:rsidP="003118CA">
      <w:pPr>
        <w:pStyle w:val="ListParagraph"/>
        <w:spacing w:before="120" w:after="120" w:line="276" w:lineRule="auto"/>
        <w:ind w:left="0"/>
        <w:contextualSpacing w:val="0"/>
        <w:jc w:val="both"/>
        <w:rPr>
          <w:rFonts w:ascii="Times New Roman" w:hAnsi="Times New Roman" w:cs="Times New Roman"/>
        </w:rPr>
      </w:pPr>
      <w:r w:rsidRPr="00B75EA1">
        <w:rPr>
          <w:rFonts w:ascii="Times New Roman" w:eastAsia="Times New Roman" w:hAnsi="Times New Roman" w:cs="Times New Roman"/>
          <w:lang w:eastAsia="el-GR"/>
        </w:rPr>
        <w:t>β) της πίστωσης που αντιστοιχεί σε κάθε Εκπρόσωπο Φορτίου ως αντάλλαγμα για την παροχή της υπηρεσίας Τιμολογίου Υπηρεσιών Αλληλεγγύης (ΤΥΑ), και</w:t>
      </w:r>
    </w:p>
    <w:p w14:paraId="6D7A0489" w14:textId="77777777" w:rsidR="003118CA" w:rsidRPr="00B75EA1" w:rsidRDefault="003118CA" w:rsidP="003118CA">
      <w:pPr>
        <w:pStyle w:val="ListParagraph"/>
        <w:spacing w:before="120" w:after="120" w:line="276" w:lineRule="auto"/>
        <w:ind w:left="0"/>
        <w:contextualSpacing w:val="0"/>
        <w:jc w:val="both"/>
        <w:rPr>
          <w:rFonts w:ascii="Times New Roman" w:eastAsia="Times New Roman" w:hAnsi="Times New Roman" w:cs="Times New Roman"/>
          <w:lang w:eastAsia="el-GR"/>
        </w:rPr>
      </w:pPr>
      <w:r w:rsidRPr="00B75EA1">
        <w:rPr>
          <w:rFonts w:ascii="Times New Roman" w:eastAsia="Times New Roman" w:hAnsi="Times New Roman" w:cs="Times New Roman"/>
          <w:lang w:eastAsia="el-GR"/>
        </w:rPr>
        <w:t xml:space="preserve">γ) της πίστωσης που αντιστοιχεί σε κάθε Εκπρόσωπο Φορτίου ως αντάλλαγμα για την παροχή ενιαίου τιμολογίου ηλεκτρικής ενέργειας στους καταναλωτές των ΜΔΝ (ΥΚΩ_ΜΔΝ). </w:t>
      </w:r>
    </w:p>
    <w:p w14:paraId="7D0CFD18" w14:textId="2C703EAA" w:rsidR="003118CA" w:rsidRPr="00B75EA1" w:rsidRDefault="003118CA" w:rsidP="003118CA">
      <w:pPr>
        <w:pStyle w:val="ListParagraph"/>
        <w:spacing w:before="120" w:after="120" w:line="276" w:lineRule="auto"/>
        <w:ind w:left="0"/>
        <w:contextualSpacing w:val="0"/>
        <w:jc w:val="both"/>
        <w:rPr>
          <w:rFonts w:ascii="Times New Roman" w:eastAsia="Times New Roman" w:hAnsi="Times New Roman" w:cs="Times New Roman"/>
          <w:sz w:val="24"/>
          <w:szCs w:val="24"/>
          <w:lang w:eastAsia="el-GR"/>
        </w:rPr>
      </w:pPr>
      <w:r w:rsidRPr="00B75EA1">
        <w:rPr>
          <w:rFonts w:ascii="Times New Roman" w:hAnsi="Times New Roman" w:cs="Times New Roman"/>
        </w:rPr>
        <w:t xml:space="preserve">10. Τα τιμολόγια των </w:t>
      </w:r>
      <w:r w:rsidRPr="00B75EA1">
        <w:rPr>
          <w:rFonts w:ascii="Times New Roman" w:eastAsia="Times New Roman" w:hAnsi="Times New Roman" w:cs="Times New Roman"/>
          <w:lang w:eastAsia="el-GR"/>
        </w:rPr>
        <w:t>Εκπροσώπων Φορτίου</w:t>
      </w:r>
      <w:r w:rsidRPr="00B75EA1">
        <w:rPr>
          <w:rFonts w:ascii="Times New Roman" w:hAnsi="Times New Roman" w:cs="Times New Roman"/>
        </w:rPr>
        <w:t xml:space="preserve"> ηλεκτρικής ενέργειας στα ΜΔΝ προς τον Διαχειριστή ΜΔΝ για το οφειλόμενο αντάλλαγμα των παρεχομένων από αυτούς ΥΚΩ στην αγορά των ΜΔΝ, εκδίδονται </w:t>
      </w:r>
      <w:r w:rsidR="00E21727" w:rsidRPr="00B75EA1">
        <w:rPr>
          <w:rFonts w:ascii="Times New Roman" w:hAnsi="Times New Roman" w:cs="Times New Roman"/>
        </w:rPr>
        <w:t>εντός δύο (2) εργάσιμων ημερών από τη λήψη του Ενημερωτικού Σημειώματος Εκκαθάρισης ΥΚΩ σύμφωνα με την παράγραφο 8 του παρόντος άρθρου</w:t>
      </w:r>
      <w:r w:rsidRPr="00B75EA1">
        <w:rPr>
          <w:rFonts w:ascii="Times New Roman" w:hAnsi="Times New Roman" w:cs="Times New Roman"/>
        </w:rPr>
        <w:t xml:space="preserve"> και εξοφλούνται μέχρι την τελευταία ημέρα του μεθεπόμενου ημερολογιακού μήνα από το μήνα αναφοράς. Τα τιμολόγια του Διαχειριστή ΜΔΝ προς τους υπόχρεους απόδοσης των Χρεώσεων ΥΚΩ στα ΜΔΝ Εκπροσώπους Φορτίου εκδίδονται και αποστέλλονται στους Εκπροσώπους Φορτίου μαζί με το Ενημερωτικό Σημείωμα ή εντός δύο (2) ημερών από την αποστολή του και  εξοφλούνται μέχρι την 15η ημέρα του ,μεθεπόμενου ημερολογιακού μήνα από το μήνα αναφοράς. Η υποχρέωση εξόφλησης εντός της ως άνω προθεσμίας είναι ανεξάρτητη από τυχόν ενστάσεις του Εκπροσώπου Φορτίου, οι δε χρεώσεις ΥΚΩ αποδίδονται από τους Εκπροσώπους Φορτίου στον Διαχειριστή ΜΔΝ, υπό την ιδιότητά του ως Διαχειριστή ΥΚΩ, ανεξαρτήτως της είσπραξης των κονδυλίων αυτών από τους Πελάτες τους.</w:t>
      </w:r>
    </w:p>
    <w:p w14:paraId="76566F56" w14:textId="77777777" w:rsidR="003118CA" w:rsidRPr="00B75EA1" w:rsidRDefault="003118CA" w:rsidP="003118CA">
      <w:pPr>
        <w:pStyle w:val="ListParagraph"/>
        <w:tabs>
          <w:tab w:val="left" w:pos="0"/>
          <w:tab w:val="left" w:pos="426"/>
          <w:tab w:val="left" w:pos="1215"/>
        </w:tabs>
        <w:spacing w:before="120" w:after="120"/>
        <w:ind w:left="0"/>
        <w:contextualSpacing w:val="0"/>
        <w:jc w:val="both"/>
        <w:rPr>
          <w:rFonts w:ascii="Times New Roman" w:hAnsi="Times New Roman" w:cs="Times New Roman"/>
        </w:rPr>
      </w:pPr>
      <w:r w:rsidRPr="00B75EA1">
        <w:rPr>
          <w:rFonts w:ascii="Times New Roman" w:hAnsi="Times New Roman" w:cs="Times New Roman"/>
        </w:rPr>
        <w:t xml:space="preserve">11. Ο Διαχειριστής ΜΔΝ, υπό την ιδιότητά του ως Διαχειριστής ΥΚΩ, καταβάλλει τις εκάστοτε πιστώσεις που αντιστοιχούν στο αντάλλαγμα ΥΚΩ, υπό την προϋπόθεση ότι δεν υφίστανται οφειλές του δικαιούχου </w:t>
      </w:r>
      <w:r w:rsidRPr="00B75EA1">
        <w:rPr>
          <w:rFonts w:ascii="Times New Roman" w:eastAsia="Times New Roman" w:hAnsi="Times New Roman" w:cs="Times New Roman"/>
          <w:lang w:eastAsia="el-GR"/>
        </w:rPr>
        <w:t>Εκπροσώπου Φορτίου</w:t>
      </w:r>
      <w:r w:rsidRPr="00B75EA1">
        <w:rPr>
          <w:rFonts w:ascii="Times New Roman" w:hAnsi="Times New Roman" w:cs="Times New Roman"/>
        </w:rPr>
        <w:t xml:space="preserve"> ηλεκτρικής ενέργειας προς αυτόν από Χρεώσεις ΥΚΩ. Η εφαρμογή της ως άνω πρόβλεψης τελεί υπό την  την επιφύλαξη των προβλέψεων της υπ’ αριθ. ΥΠΕΝ/ΔΗΕ/73978/911 Υπουργικής Απόφασης (ΦΕΚ Β΄ 3149/30.07.2020). </w:t>
      </w:r>
    </w:p>
    <w:p w14:paraId="6CFA2C8D" w14:textId="487B1FC7" w:rsidR="003118CA" w:rsidRPr="00B75EA1" w:rsidRDefault="003118CA" w:rsidP="003118CA">
      <w:pPr>
        <w:pStyle w:val="ListParagraph"/>
        <w:tabs>
          <w:tab w:val="left" w:pos="0"/>
          <w:tab w:val="left" w:pos="426"/>
          <w:tab w:val="left" w:pos="1215"/>
        </w:tabs>
        <w:spacing w:before="120" w:after="120"/>
        <w:ind w:left="0"/>
        <w:contextualSpacing w:val="0"/>
        <w:jc w:val="both"/>
        <w:rPr>
          <w:rFonts w:ascii="Times New Roman" w:hAnsi="Times New Roman" w:cs="Times New Roman"/>
        </w:rPr>
      </w:pPr>
      <w:r w:rsidRPr="00B75EA1">
        <w:rPr>
          <w:rFonts w:ascii="Times New Roman" w:hAnsi="Times New Roman" w:cs="Times New Roman"/>
        </w:rPr>
        <w:t>12.</w:t>
      </w:r>
      <w:r w:rsidRPr="00B75EA1">
        <w:rPr>
          <w:rFonts w:ascii="Times New Roman" w:hAnsi="Times New Roman" w:cs="Times New Roman"/>
        </w:rPr>
        <w:tab/>
        <w:t xml:space="preserve">Εάν μετά την παρέλευση των ανωτέρω προθεσμιών, ο Λογαριασμός του Εκπροσώπου Φορτίου δεν διαθέτει επαρκές χρηματικό ποσό ως υπόλοιπο ώστε να πραγματοποιηθεί η σχετική τραπεζική πράξη χρέωσης που αντιστοιχεί στην Κατάσταση Μηνιαίας Εκκαθάρισης, τεκμαίρεται αδυναμία του Εκπροσώπου Φορτίου ως προς την καταβολή των σχετικών ποσών. Το σύνολο των χρηματικών ποσών που αντιστοιχούν σε αδυναμία καταβολής από Εκπρόσωπο Φορτίου συνιστούν Έλλειμμα Συναλλαγών για τη Μηνιαία Εκκαθάριση και ακολουθούνται οι διαδικασίες που προβλέπονται στο άρθρο 185. Ειδικά για την περίπτωση που μετά την παρέλευση των ανωτέρω προθεσμιών, ο Λογαριασμός του Εκπροσώπου Φορτίου δεν διαθέτει επαρκές χρηματικό ποσό ως υπόλοιπο, ώστε να πραγματοποιηθεί η σχετική τραπεζική πράξη χρέωσης που αντιστοιχεί στο </w:t>
      </w:r>
      <w:r w:rsidRPr="00B75EA1">
        <w:rPr>
          <w:rFonts w:ascii="Times New Roman" w:eastAsia="Times New Roman" w:hAnsi="Times New Roman" w:cs="Times New Roman"/>
          <w:lang w:eastAsia="el-GR"/>
        </w:rPr>
        <w:t>Ενημερωτικό Σημείωμα Μηνιαίας Εκκαθάρισης ΥΚΩ, εφαρμόζονται οι διατάξεις του εδάφιου δ’ της παρ. 2 του άρθρου 147 Κώδικα ΕΔΔΗΕ.</w:t>
      </w:r>
    </w:p>
    <w:p w14:paraId="548C163B" w14:textId="77777777" w:rsidR="003118CA" w:rsidRPr="00B75EA1" w:rsidRDefault="003118CA" w:rsidP="003118CA">
      <w:pPr>
        <w:pStyle w:val="ListParagraph"/>
        <w:tabs>
          <w:tab w:val="left" w:pos="0"/>
          <w:tab w:val="left" w:pos="426"/>
          <w:tab w:val="left" w:pos="1215"/>
        </w:tabs>
        <w:spacing w:after="0"/>
        <w:ind w:left="0"/>
        <w:contextualSpacing w:val="0"/>
        <w:jc w:val="both"/>
        <w:rPr>
          <w:rFonts w:ascii="Times New Roman" w:hAnsi="Times New Roman" w:cs="Times New Roman"/>
        </w:rPr>
      </w:pPr>
      <w:r w:rsidRPr="00B75EA1">
        <w:rPr>
          <w:rFonts w:ascii="Times New Roman" w:hAnsi="Times New Roman" w:cs="Times New Roman"/>
        </w:rPr>
        <w:t>13.</w:t>
      </w:r>
      <w:r w:rsidRPr="00B75EA1">
        <w:rPr>
          <w:rFonts w:ascii="Times New Roman" w:hAnsi="Times New Roman" w:cs="Times New Roman"/>
        </w:rPr>
        <w:tab/>
        <w:t xml:space="preserve">[....].  </w:t>
      </w:r>
    </w:p>
    <w:p w14:paraId="1D3DBCC3" w14:textId="77777777" w:rsidR="003118CA" w:rsidRPr="00B75EA1" w:rsidRDefault="003118CA" w:rsidP="003118CA">
      <w:pPr>
        <w:pStyle w:val="ListParagraph"/>
        <w:tabs>
          <w:tab w:val="left" w:pos="0"/>
          <w:tab w:val="left" w:pos="426"/>
          <w:tab w:val="left" w:pos="1215"/>
        </w:tabs>
        <w:spacing w:after="0"/>
        <w:ind w:left="0"/>
        <w:contextualSpacing w:val="0"/>
        <w:jc w:val="both"/>
        <w:rPr>
          <w:rFonts w:ascii="Times New Roman" w:hAnsi="Times New Roman" w:cs="Times New Roman"/>
        </w:rPr>
      </w:pPr>
      <w:r w:rsidRPr="00B75EA1">
        <w:rPr>
          <w:rFonts w:ascii="Times New Roman" w:hAnsi="Times New Roman" w:cs="Times New Roman"/>
        </w:rPr>
        <w:t>14.</w:t>
      </w:r>
      <w:r w:rsidRPr="00B75EA1">
        <w:rPr>
          <w:rFonts w:ascii="Times New Roman" w:hAnsi="Times New Roman" w:cs="Times New Roman"/>
        </w:rPr>
        <w:tab/>
        <w:t>[...].</w:t>
      </w:r>
    </w:p>
    <w:p w14:paraId="647F4AD2" w14:textId="77777777" w:rsidR="003118CA" w:rsidRPr="00B75EA1" w:rsidRDefault="003118CA" w:rsidP="003118CA">
      <w:pPr>
        <w:pStyle w:val="ListParagraph"/>
        <w:tabs>
          <w:tab w:val="left" w:pos="0"/>
          <w:tab w:val="left" w:pos="426"/>
          <w:tab w:val="left" w:pos="1215"/>
        </w:tabs>
        <w:spacing w:after="0"/>
        <w:ind w:left="0"/>
        <w:contextualSpacing w:val="0"/>
        <w:jc w:val="both"/>
        <w:rPr>
          <w:rFonts w:ascii="Times New Roman" w:hAnsi="Times New Roman" w:cs="Times New Roman"/>
        </w:rPr>
      </w:pPr>
      <w:r w:rsidRPr="00B75EA1">
        <w:rPr>
          <w:rFonts w:ascii="Times New Roman" w:hAnsi="Times New Roman" w:cs="Times New Roman"/>
        </w:rPr>
        <w:t>15. [...].</w:t>
      </w:r>
    </w:p>
    <w:p w14:paraId="02664D29" w14:textId="77777777" w:rsidR="003118CA" w:rsidRPr="00B75EA1" w:rsidRDefault="003118CA" w:rsidP="003118CA">
      <w:pPr>
        <w:pStyle w:val="ListParagraph"/>
        <w:tabs>
          <w:tab w:val="left" w:pos="0"/>
          <w:tab w:val="left" w:pos="426"/>
          <w:tab w:val="left" w:pos="1215"/>
        </w:tabs>
        <w:spacing w:after="0"/>
        <w:ind w:left="0"/>
        <w:contextualSpacing w:val="0"/>
        <w:jc w:val="both"/>
        <w:rPr>
          <w:rFonts w:ascii="Times New Roman" w:hAnsi="Times New Roman" w:cs="Times New Roman"/>
        </w:rPr>
      </w:pPr>
      <w:r w:rsidRPr="00B75EA1">
        <w:rPr>
          <w:rFonts w:ascii="Times New Roman" w:hAnsi="Times New Roman" w:cs="Times New Roman"/>
        </w:rPr>
        <w:t>16.</w:t>
      </w:r>
      <w:r w:rsidRPr="00B75EA1">
        <w:rPr>
          <w:rFonts w:ascii="Times New Roman" w:hAnsi="Times New Roman" w:cs="Times New Roman"/>
        </w:rPr>
        <w:tab/>
        <w:t>[....]</w:t>
      </w:r>
    </w:p>
    <w:p w14:paraId="29AABC78" w14:textId="77777777" w:rsidR="003118CA" w:rsidRPr="00B75EA1" w:rsidRDefault="003118CA" w:rsidP="003118CA">
      <w:pPr>
        <w:pStyle w:val="ListParagraph"/>
        <w:tabs>
          <w:tab w:val="left" w:pos="0"/>
          <w:tab w:val="left" w:pos="426"/>
          <w:tab w:val="left" w:pos="1215"/>
        </w:tabs>
        <w:spacing w:after="0"/>
        <w:ind w:left="0"/>
        <w:contextualSpacing w:val="0"/>
        <w:jc w:val="both"/>
        <w:rPr>
          <w:rFonts w:ascii="Times New Roman" w:hAnsi="Times New Roman" w:cs="Times New Roman"/>
        </w:rPr>
      </w:pPr>
      <w:r w:rsidRPr="00B75EA1">
        <w:rPr>
          <w:rFonts w:ascii="Times New Roman" w:hAnsi="Times New Roman" w:cs="Times New Roman"/>
        </w:rPr>
        <w:t>17.</w:t>
      </w:r>
      <w:r w:rsidRPr="00B75EA1">
        <w:rPr>
          <w:rFonts w:ascii="Times New Roman" w:hAnsi="Times New Roman" w:cs="Times New Roman"/>
        </w:rPr>
        <w:tab/>
        <w:t>[....]».</w:t>
      </w:r>
    </w:p>
    <w:p w14:paraId="560467B0" w14:textId="2EBE3B9C" w:rsidR="003118CA" w:rsidRPr="00B75EA1" w:rsidRDefault="003118CA" w:rsidP="003118CA">
      <w:pPr>
        <w:pStyle w:val="ListParagraph"/>
        <w:numPr>
          <w:ilvl w:val="0"/>
          <w:numId w:val="1"/>
        </w:numPr>
        <w:tabs>
          <w:tab w:val="left" w:pos="0"/>
          <w:tab w:val="left" w:pos="426"/>
          <w:tab w:val="left" w:pos="1215"/>
        </w:tabs>
        <w:spacing w:before="120" w:after="120" w:line="276" w:lineRule="auto"/>
        <w:ind w:left="0" w:firstLine="0"/>
        <w:contextualSpacing w:val="0"/>
        <w:jc w:val="both"/>
        <w:rPr>
          <w:rFonts w:ascii="Times New Roman" w:hAnsi="Times New Roman" w:cs="Times New Roman"/>
          <w:b/>
        </w:rPr>
      </w:pPr>
      <w:r w:rsidRPr="00B75EA1">
        <w:rPr>
          <w:rFonts w:ascii="Times New Roman" w:hAnsi="Times New Roman" w:cs="Times New Roman"/>
          <w:b/>
        </w:rPr>
        <w:t>Η παρ. 9 του άρθρου 184 του Κώδικα ΜΔΝ αντικαθίσταται ως ακολούθως:</w:t>
      </w:r>
    </w:p>
    <w:p w14:paraId="45F944C3" w14:textId="7674C934" w:rsidR="003118CA" w:rsidRPr="00B75EA1" w:rsidRDefault="003118CA" w:rsidP="003118CA">
      <w:pPr>
        <w:pStyle w:val="ListParagraph"/>
        <w:tabs>
          <w:tab w:val="left" w:pos="0"/>
          <w:tab w:val="left" w:pos="426"/>
          <w:tab w:val="left" w:pos="1215"/>
        </w:tabs>
        <w:spacing w:before="120" w:after="120"/>
        <w:ind w:left="0"/>
        <w:contextualSpacing w:val="0"/>
        <w:jc w:val="both"/>
        <w:rPr>
          <w:rFonts w:ascii="Times New Roman" w:hAnsi="Times New Roman" w:cs="Times New Roman"/>
        </w:rPr>
      </w:pPr>
      <w:r w:rsidRPr="00B75EA1">
        <w:rPr>
          <w:rFonts w:ascii="Times New Roman" w:hAnsi="Times New Roman" w:cs="Times New Roman"/>
        </w:rPr>
        <w:t>«9.</w:t>
      </w:r>
      <w:r w:rsidRPr="00B75EA1">
        <w:rPr>
          <w:rFonts w:ascii="Times New Roman" w:hAnsi="Times New Roman" w:cs="Times New Roman"/>
        </w:rPr>
        <w:tab/>
        <w:t>Στην περίπτωση που το αποτέλεσμα της Ετήσιας Οριστικής Εκκαθάρισης είναι χρεωστικό για τον Διαχειριστή ΜΔΝ, ο Συμμετέχων εκδίδει και αποστέλλει άμεσα το σχετικό παραστατικό στον Διαχειριστή ΜΔΝ, με βάση τα στοιχεία που αναγράφονται στην Κατάσταση Ετήσιας Εκκαθάρισης, ανεξάρτητα τυχόν ενστάσεων του Συμμετέχοντος. Εντός προθεσμίας δέκα (10) εργάσιμων ημερών από την ημερομηνία κοινοποίησης του παραστατικού, ο Διαχειριστής ΜΔΝ εκδίδει τη σχετική τραπεζική εντολή εξόφλησης του Συμμετέχοντος, ανεξάρτητα από την ύπαρξη αντιρρήσεων επί των οφειλόμενων ποσών. Σε περίπτωση που διαπιστώνεται έλλειμμα του ΕΛΥΚΩ μετά τη διενέργεια της Ετήσιας εκκαθάρισης ΕΛΥΚΩ ΜΔΝ,</w:t>
      </w:r>
      <w:r w:rsidR="00402C30" w:rsidRPr="00B75EA1">
        <w:rPr>
          <w:rFonts w:ascii="Times New Roman" w:hAnsi="Times New Roman" w:cs="Times New Roman"/>
        </w:rPr>
        <w:t xml:space="preserve"> </w:t>
      </w:r>
      <w:r w:rsidR="00E21727" w:rsidRPr="00B75EA1">
        <w:rPr>
          <w:rFonts w:ascii="Times New Roman" w:hAnsi="Times New Roman" w:cs="Times New Roman"/>
        </w:rPr>
        <w:t>για την απόδοση των οφειλομένων στους κατόχους άδειας προμήθειας ηλεκτρικής ενέργειας εφαρμόζεται η ειδική μεθοδολογία της παρ. 10 του άρθρου 55 του ν. 4001/2011, όπως ισχύει.</w:t>
      </w:r>
      <w:r w:rsidRPr="00B75EA1">
        <w:rPr>
          <w:rFonts w:ascii="Times New Roman" w:hAnsi="Times New Roman" w:cs="Times New Roman"/>
        </w:rPr>
        <w:t>»</w:t>
      </w:r>
    </w:p>
    <w:p w14:paraId="5DC20AE9" w14:textId="77777777" w:rsidR="003118CA" w:rsidRPr="00B75EA1" w:rsidRDefault="003118CA" w:rsidP="00DB673C">
      <w:pPr>
        <w:pStyle w:val="ListParagraph"/>
        <w:tabs>
          <w:tab w:val="left" w:pos="0"/>
          <w:tab w:val="left" w:pos="426"/>
          <w:tab w:val="left" w:pos="1215"/>
        </w:tabs>
        <w:spacing w:before="120" w:after="120"/>
        <w:ind w:left="0"/>
        <w:contextualSpacing w:val="0"/>
        <w:jc w:val="both"/>
        <w:rPr>
          <w:rFonts w:ascii="Times New Roman" w:hAnsi="Times New Roman" w:cs="Times New Roman"/>
        </w:rPr>
      </w:pPr>
    </w:p>
    <w:p w14:paraId="1EDF8CD2" w14:textId="0106EC26" w:rsidR="00630311" w:rsidRDefault="00630311">
      <w:pPr>
        <w:rPr>
          <w:rFonts w:ascii="Times New Roman" w:hAnsi="Times New Roman" w:cs="Times New Roman"/>
        </w:rPr>
      </w:pPr>
      <w:r>
        <w:rPr>
          <w:rFonts w:ascii="Times New Roman" w:hAnsi="Times New Roman" w:cs="Times New Roman"/>
        </w:rPr>
        <w:br w:type="page"/>
      </w:r>
    </w:p>
    <w:p w14:paraId="29056920" w14:textId="4ED87866" w:rsidR="00630311" w:rsidRPr="00FA41E5" w:rsidRDefault="00630311" w:rsidP="00630311">
      <w:pPr>
        <w:spacing w:line="360" w:lineRule="auto"/>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Β. </w:t>
      </w:r>
      <w:r w:rsidRPr="00FA41E5">
        <w:rPr>
          <w:rFonts w:ascii="Times New Roman" w:hAnsi="Times New Roman" w:cs="Times New Roman"/>
          <w:sz w:val="24"/>
          <w:szCs w:val="24"/>
          <w:u w:val="single"/>
        </w:rPr>
        <w:t xml:space="preserve">Προτεινόμενες ρυθμίσεις </w:t>
      </w:r>
      <w:r>
        <w:rPr>
          <w:rFonts w:ascii="Times New Roman" w:hAnsi="Times New Roman" w:cs="Times New Roman"/>
          <w:sz w:val="24"/>
          <w:szCs w:val="24"/>
          <w:u w:val="single"/>
        </w:rPr>
        <w:t xml:space="preserve">για λοιπές τροποποιήσεις </w:t>
      </w:r>
      <w:r w:rsidRPr="00FA41E5">
        <w:rPr>
          <w:rFonts w:ascii="Times New Roman" w:hAnsi="Times New Roman" w:cs="Times New Roman"/>
          <w:sz w:val="24"/>
          <w:szCs w:val="24"/>
          <w:u w:val="single"/>
        </w:rPr>
        <w:t>Κώδικα ΜΔΝ</w:t>
      </w:r>
    </w:p>
    <w:p w14:paraId="17207152" w14:textId="77777777" w:rsidR="001C7BAC" w:rsidRPr="00B75EA1" w:rsidRDefault="001C7BAC" w:rsidP="001C7BAC">
      <w:pPr>
        <w:spacing w:before="120" w:after="120"/>
        <w:jc w:val="both"/>
        <w:rPr>
          <w:rFonts w:ascii="Times New Roman" w:hAnsi="Times New Roman" w:cs="Times New Roman"/>
          <w:b/>
          <w:bCs/>
          <w:u w:val="single"/>
        </w:rPr>
      </w:pPr>
    </w:p>
    <w:p w14:paraId="3F86AC82" w14:textId="0F5601AB" w:rsidR="001C7BAC" w:rsidRPr="00B75EA1" w:rsidRDefault="00CF256F" w:rsidP="003D151F">
      <w:pPr>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cs="Times New Roman"/>
        </w:rPr>
      </w:pPr>
      <w:r w:rsidRPr="00B75EA1">
        <w:rPr>
          <w:rFonts w:ascii="Times New Roman" w:hAnsi="Times New Roman" w:cs="Times New Roman"/>
          <w:b/>
          <w:bCs/>
          <w:color w:val="1C190F"/>
        </w:rPr>
        <w:t xml:space="preserve">1. </w:t>
      </w:r>
      <w:r w:rsidR="00D06021" w:rsidRPr="00B75EA1">
        <w:rPr>
          <w:rFonts w:ascii="Times New Roman" w:hAnsi="Times New Roman" w:cs="Times New Roman"/>
          <w:b/>
          <w:bCs/>
          <w:color w:val="1C190F"/>
        </w:rPr>
        <w:t xml:space="preserve">Προτείνεται η αντικατάσταση </w:t>
      </w:r>
      <w:r w:rsidR="00BB6DDA" w:rsidRPr="00B75EA1">
        <w:rPr>
          <w:rFonts w:ascii="Times New Roman" w:hAnsi="Times New Roman" w:cs="Times New Roman"/>
          <w:b/>
          <w:bCs/>
          <w:color w:val="1C190F"/>
        </w:rPr>
        <w:t xml:space="preserve">των </w:t>
      </w:r>
      <w:r w:rsidR="00C5383B" w:rsidRPr="00B75EA1">
        <w:rPr>
          <w:rFonts w:ascii="Times New Roman" w:hAnsi="Times New Roman" w:cs="Times New Roman"/>
          <w:b/>
          <w:bCs/>
        </w:rPr>
        <w:t>παραγράφων</w:t>
      </w:r>
      <w:r w:rsidR="00D06021" w:rsidRPr="00B75EA1">
        <w:rPr>
          <w:rFonts w:ascii="Times New Roman" w:hAnsi="Times New Roman" w:cs="Times New Roman"/>
          <w:b/>
          <w:bCs/>
        </w:rPr>
        <w:t xml:space="preserve"> </w:t>
      </w:r>
      <w:r w:rsidRPr="00B75EA1">
        <w:rPr>
          <w:rFonts w:ascii="Times New Roman" w:hAnsi="Times New Roman" w:cs="Times New Roman"/>
          <w:b/>
          <w:bCs/>
        </w:rPr>
        <w:t>4</w:t>
      </w:r>
      <w:r w:rsidR="00BB6DDA" w:rsidRPr="00B75EA1">
        <w:rPr>
          <w:rFonts w:ascii="Times New Roman" w:hAnsi="Times New Roman" w:cs="Times New Roman"/>
          <w:b/>
          <w:bCs/>
        </w:rPr>
        <w:t xml:space="preserve"> και 6</w:t>
      </w:r>
      <w:r w:rsidRPr="00B75EA1">
        <w:rPr>
          <w:rFonts w:ascii="Times New Roman" w:hAnsi="Times New Roman" w:cs="Times New Roman"/>
          <w:b/>
          <w:bCs/>
        </w:rPr>
        <w:t xml:space="preserve">, </w:t>
      </w:r>
      <w:r w:rsidR="00D06021" w:rsidRPr="00B75EA1">
        <w:rPr>
          <w:rFonts w:ascii="Times New Roman" w:hAnsi="Times New Roman" w:cs="Times New Roman"/>
          <w:b/>
          <w:bCs/>
        </w:rPr>
        <w:t>του ά</w:t>
      </w:r>
      <w:r w:rsidRPr="00B75EA1">
        <w:rPr>
          <w:rFonts w:ascii="Times New Roman" w:hAnsi="Times New Roman" w:cs="Times New Roman"/>
          <w:b/>
          <w:bCs/>
          <w:color w:val="1C190F"/>
        </w:rPr>
        <w:t xml:space="preserve">ρθρου </w:t>
      </w:r>
      <w:r w:rsidR="00BB6DDA" w:rsidRPr="00B75EA1">
        <w:rPr>
          <w:rFonts w:ascii="Times New Roman" w:hAnsi="Times New Roman" w:cs="Times New Roman"/>
          <w:b/>
          <w:bCs/>
          <w:color w:val="1C190F"/>
        </w:rPr>
        <w:t>13</w:t>
      </w:r>
      <w:r w:rsidR="001F5B95" w:rsidRPr="00B75EA1">
        <w:rPr>
          <w:rFonts w:ascii="Times New Roman" w:hAnsi="Times New Roman" w:cs="Times New Roman"/>
          <w:b/>
          <w:bCs/>
          <w:color w:val="1C190F"/>
        </w:rPr>
        <w:t xml:space="preserve"> του Κώδικα ΜΔΝ</w:t>
      </w:r>
      <w:r w:rsidR="00102626" w:rsidRPr="00B75EA1">
        <w:rPr>
          <w:rFonts w:ascii="Times New Roman" w:hAnsi="Times New Roman" w:cs="Times New Roman"/>
          <w:b/>
          <w:bCs/>
          <w:color w:val="1C190F"/>
        </w:rPr>
        <w:t xml:space="preserve"> - </w:t>
      </w:r>
      <w:r w:rsidRPr="00B75EA1">
        <w:rPr>
          <w:rFonts w:ascii="Times New Roman" w:hAnsi="Times New Roman" w:cs="Times New Roman"/>
          <w:b/>
          <w:bCs/>
          <w:color w:val="1C190F"/>
        </w:rPr>
        <w:t xml:space="preserve">Προϋποθέσεις για την ενεργοποίηση </w:t>
      </w:r>
      <w:r w:rsidR="00402C30" w:rsidRPr="00B75EA1">
        <w:rPr>
          <w:rFonts w:ascii="Times New Roman" w:hAnsi="Times New Roman" w:cs="Times New Roman"/>
          <w:b/>
          <w:bCs/>
          <w:color w:val="1C190F"/>
        </w:rPr>
        <w:t>δραστηριότητας</w:t>
      </w:r>
      <w:r w:rsidRPr="00B75EA1">
        <w:rPr>
          <w:rFonts w:ascii="Times New Roman" w:hAnsi="Times New Roman" w:cs="Times New Roman"/>
          <w:b/>
          <w:bCs/>
          <w:color w:val="1C190F"/>
        </w:rPr>
        <w:t xml:space="preserve"> Προμήθειας</w:t>
      </w:r>
      <w:r w:rsidR="00D06021" w:rsidRPr="00B75EA1">
        <w:rPr>
          <w:rFonts w:ascii="Times New Roman" w:hAnsi="Times New Roman" w:cs="Times New Roman"/>
          <w:b/>
          <w:bCs/>
          <w:color w:val="1C190F"/>
        </w:rPr>
        <w:t>, ως ακολούθως</w:t>
      </w:r>
      <w:r w:rsidR="001C7BAC" w:rsidRPr="00B75EA1">
        <w:rPr>
          <w:rFonts w:ascii="Times New Roman" w:hAnsi="Times New Roman" w:cs="Times New Roman"/>
        </w:rPr>
        <w:t>:</w:t>
      </w:r>
    </w:p>
    <w:p w14:paraId="464710DB" w14:textId="456FC6F0" w:rsidR="00AE4621" w:rsidRPr="00B75EA1" w:rsidRDefault="00630311" w:rsidP="00AE4621">
      <w:pPr>
        <w:tabs>
          <w:tab w:val="left" w:pos="0"/>
          <w:tab w:val="left" w:pos="426"/>
          <w:tab w:val="left" w:pos="1215"/>
        </w:tabs>
        <w:spacing w:before="120" w:after="120"/>
        <w:jc w:val="both"/>
        <w:rPr>
          <w:rFonts w:ascii="Times New Roman" w:hAnsi="Times New Roman" w:cs="Times New Roman"/>
        </w:rPr>
      </w:pPr>
      <w:r>
        <w:rPr>
          <w:rFonts w:ascii="Times New Roman" w:hAnsi="Times New Roman" w:cs="Times New Roman"/>
        </w:rPr>
        <w:t>«</w:t>
      </w:r>
      <w:r w:rsidR="00BB6DDA" w:rsidRPr="00B75EA1">
        <w:rPr>
          <w:rFonts w:ascii="Times New Roman" w:hAnsi="Times New Roman" w:cs="Times New Roman"/>
        </w:rPr>
        <w:t>4.</w:t>
      </w:r>
      <w:r>
        <w:rPr>
          <w:rFonts w:ascii="Times New Roman" w:hAnsi="Times New Roman" w:cs="Times New Roman"/>
        </w:rPr>
        <w:t xml:space="preserve"> </w:t>
      </w:r>
      <w:r w:rsidR="00AE4621" w:rsidRPr="00B75EA1">
        <w:rPr>
          <w:rFonts w:ascii="Times New Roman" w:hAnsi="Times New Roman" w:cs="Times New Roman"/>
        </w:rPr>
        <w:t>Σε κάθε περίπτωση αλλαγής της Δήλωσης Εκπροσώπησης Καταχωρημένων Μετρητών, η οποία επιφέρει μεταβολή άνω του 10% στην εκτίμηση ενέργειας ή ισχύος του Εκπροσώπου Φορτίου, ο Διαχειριστής ΜΔΝ επανυπολογίζει το ύψος των Εγγυήσεων αυτών και, είτε απαιτεί την προσκόμιση πρόσθετων εγγυήσεων αν αυτό απαιτείται, είτε επιστρέφει τις αναλογούσες εγγυήσεις.</w:t>
      </w:r>
    </w:p>
    <w:p w14:paraId="6CF10FAF" w14:textId="2E4A26F9" w:rsidR="00BB6DDA" w:rsidRPr="00B75EA1" w:rsidRDefault="00AE4621" w:rsidP="008D13D2">
      <w:pPr>
        <w:pStyle w:val="ListParagraph"/>
        <w:tabs>
          <w:tab w:val="left" w:pos="0"/>
          <w:tab w:val="left" w:pos="426"/>
          <w:tab w:val="left" w:pos="1215"/>
        </w:tabs>
        <w:spacing w:before="120" w:after="120"/>
        <w:ind w:left="0"/>
        <w:contextualSpacing w:val="0"/>
        <w:jc w:val="both"/>
        <w:rPr>
          <w:rFonts w:ascii="Times New Roman" w:hAnsi="Times New Roman" w:cs="Times New Roman"/>
        </w:rPr>
      </w:pPr>
      <w:r w:rsidRPr="00B75EA1">
        <w:rPr>
          <w:rFonts w:ascii="Times New Roman" w:hAnsi="Times New Roman" w:cs="Times New Roman"/>
        </w:rPr>
        <w:t xml:space="preserve">Τα ανωτέρω ισχύουν στην περίπτωση που το επανυπολογισθέν ύψος της εγγύησης για οποιονδήποτε μήνα εντός της ιδίας Περιόδου Κάλυψης Εγγυήσεων, διαφοροποιείται </w:t>
      </w:r>
      <w:r w:rsidR="00C943A1" w:rsidRPr="00B75EA1">
        <w:rPr>
          <w:rFonts w:ascii="Times New Roman" w:hAnsi="Times New Roman" w:cs="Times New Roman"/>
        </w:rPr>
        <w:t xml:space="preserve">σε ποσοστό μεγαλύτερο </w:t>
      </w:r>
      <w:r w:rsidR="00102626" w:rsidRPr="00B75EA1">
        <w:rPr>
          <w:rFonts w:ascii="Times New Roman" w:hAnsi="Times New Roman" w:cs="Times New Roman"/>
        </w:rPr>
        <w:t xml:space="preserve">ή ίσο </w:t>
      </w:r>
      <w:r w:rsidR="00C943A1" w:rsidRPr="00B75EA1">
        <w:rPr>
          <w:rFonts w:ascii="Times New Roman" w:hAnsi="Times New Roman" w:cs="Times New Roman"/>
        </w:rPr>
        <w:t xml:space="preserve">του </w:t>
      </w:r>
      <w:r w:rsidR="00676203" w:rsidRPr="00B75EA1">
        <w:rPr>
          <w:rFonts w:ascii="Times New Roman" w:hAnsi="Times New Roman" w:cs="Times New Roman"/>
        </w:rPr>
        <w:t xml:space="preserve">5 </w:t>
      </w:r>
      <w:r w:rsidR="00C943A1" w:rsidRPr="00B75EA1">
        <w:rPr>
          <w:rFonts w:ascii="Times New Roman" w:hAnsi="Times New Roman" w:cs="Times New Roman"/>
        </w:rPr>
        <w:t xml:space="preserve">% σε σχέση με </w:t>
      </w:r>
      <w:r w:rsidRPr="00B75EA1">
        <w:rPr>
          <w:rFonts w:ascii="Times New Roman" w:hAnsi="Times New Roman" w:cs="Times New Roman"/>
        </w:rPr>
        <w:t xml:space="preserve">το ύψος της εγγύησης που </w:t>
      </w:r>
      <w:r w:rsidR="00C04532" w:rsidRPr="00B75EA1">
        <w:rPr>
          <w:rFonts w:ascii="Times New Roman" w:hAnsi="Times New Roman" w:cs="Times New Roman"/>
        </w:rPr>
        <w:t xml:space="preserve">προσδιορίστηκε </w:t>
      </w:r>
      <w:r w:rsidR="00676203" w:rsidRPr="00B75EA1">
        <w:rPr>
          <w:rFonts w:ascii="Times New Roman" w:hAnsi="Times New Roman" w:cs="Times New Roman"/>
        </w:rPr>
        <w:t xml:space="preserve">στον αρχικό </w:t>
      </w:r>
      <w:r w:rsidRPr="00B75EA1">
        <w:rPr>
          <w:rFonts w:ascii="Times New Roman" w:hAnsi="Times New Roman" w:cs="Times New Roman"/>
        </w:rPr>
        <w:t>υπολογισμό για την εν λόγω Περίοδο Κάλυψης Εγγυήσεων.»</w:t>
      </w:r>
    </w:p>
    <w:p w14:paraId="76F38F67" w14:textId="6C2FADA4" w:rsidR="00BB6DDA" w:rsidRDefault="00630311" w:rsidP="00BB6DDA">
      <w:pPr>
        <w:spacing w:after="0"/>
        <w:jc w:val="both"/>
        <w:rPr>
          <w:rFonts w:ascii="Times New Roman" w:hAnsi="Times New Roman" w:cs="Times New Roman"/>
        </w:rPr>
      </w:pPr>
      <w:r>
        <w:rPr>
          <w:rFonts w:ascii="Times New Roman" w:hAnsi="Times New Roman" w:cs="Times New Roman"/>
        </w:rPr>
        <w:t>«</w:t>
      </w:r>
      <w:r w:rsidR="00BB6DDA" w:rsidRPr="00B75EA1">
        <w:rPr>
          <w:rFonts w:ascii="Times New Roman" w:hAnsi="Times New Roman" w:cs="Times New Roman"/>
        </w:rPr>
        <w:t xml:space="preserve">6. Σε περίπτωση </w:t>
      </w:r>
      <w:r w:rsidR="00102626" w:rsidRPr="00B75EA1">
        <w:rPr>
          <w:rFonts w:ascii="Times New Roman" w:hAnsi="Times New Roman" w:cs="Times New Roman"/>
        </w:rPr>
        <w:t xml:space="preserve">απένταξης </w:t>
      </w:r>
      <w:r w:rsidR="00BB6DDA" w:rsidRPr="00B75EA1">
        <w:rPr>
          <w:rFonts w:ascii="Times New Roman" w:hAnsi="Times New Roman" w:cs="Times New Roman"/>
        </w:rPr>
        <w:t>Εκπροσώπου Φορτίου από το Μητρώο Εκπροσώπων Φορτίου, ο Διαχειριστής ΜΔΝ συνεχίζει να διατηρεί τις τελευταίες καταβληθείσες εγγυήσεις του Εκπροσώπου Φορτίου έως την ολοκλήρωση της τελευταίας ετήσιας εκκαθάρισης</w:t>
      </w:r>
      <w:r w:rsidR="00102626" w:rsidRPr="00B75EA1">
        <w:rPr>
          <w:rFonts w:ascii="Times New Roman" w:hAnsi="Times New Roman" w:cs="Times New Roman"/>
        </w:rPr>
        <w:t xml:space="preserve"> προς ικανοποίηση απαιτήσεων που ενδέχεται να προκύψουν από την εν λόγω εκκαθάριση</w:t>
      </w:r>
      <w:r w:rsidR="00BB6DDA" w:rsidRPr="00B75EA1">
        <w:rPr>
          <w:rFonts w:ascii="Times New Roman" w:hAnsi="Times New Roman" w:cs="Times New Roman"/>
        </w:rPr>
        <w:t xml:space="preserve">, καθώς και λοιπών </w:t>
      </w:r>
      <w:r w:rsidR="00102626" w:rsidRPr="00B75EA1">
        <w:rPr>
          <w:rFonts w:ascii="Times New Roman" w:hAnsi="Times New Roman" w:cs="Times New Roman"/>
        </w:rPr>
        <w:t xml:space="preserve"> εκκρεμών απαιτήσεων </w:t>
      </w:r>
      <w:r w:rsidR="00BB6DDA" w:rsidRPr="00B75EA1">
        <w:rPr>
          <w:rFonts w:ascii="Times New Roman" w:hAnsi="Times New Roman" w:cs="Times New Roman"/>
        </w:rPr>
        <w:t>για τον Εκπρόσωπο Φορτίου</w:t>
      </w:r>
      <w:r w:rsidR="00102626" w:rsidRPr="00B75EA1">
        <w:rPr>
          <w:rFonts w:ascii="Times New Roman" w:hAnsi="Times New Roman" w:cs="Times New Roman"/>
        </w:rPr>
        <w:t xml:space="preserve"> από τη συμμετοχή του στην αγορά προμήθειας των ΜΔΝ</w:t>
      </w:r>
      <w:r w:rsidR="00BB6DDA" w:rsidRPr="00B75EA1">
        <w:rPr>
          <w:rFonts w:ascii="Times New Roman" w:hAnsi="Times New Roman" w:cs="Times New Roman"/>
        </w:rPr>
        <w:t>. Ο Διαχειριστής ΜΔΝ δύναται να απομειώνει τις εγγυήσεις αυτές, λαμβάνοντας υπόψη επιστροφές που προκύπτουν από ετήσιες εκκαθαρίσεις που ολοκληρώνονται.</w:t>
      </w:r>
      <w:r>
        <w:rPr>
          <w:rFonts w:ascii="Times New Roman" w:hAnsi="Times New Roman" w:cs="Times New Roman"/>
        </w:rPr>
        <w:t>»</w:t>
      </w:r>
    </w:p>
    <w:p w14:paraId="7C255F37" w14:textId="77777777" w:rsidR="00630311" w:rsidRPr="00B75EA1" w:rsidRDefault="00630311" w:rsidP="00BB6DDA">
      <w:pPr>
        <w:spacing w:after="0"/>
        <w:jc w:val="both"/>
        <w:rPr>
          <w:rFonts w:ascii="Times New Roman" w:hAnsi="Times New Roman" w:cs="Times New Roman"/>
        </w:rPr>
      </w:pPr>
    </w:p>
    <w:p w14:paraId="71031BD9" w14:textId="65A4DD46" w:rsidR="005A1B0C" w:rsidRPr="00B75EA1" w:rsidRDefault="005A1B0C" w:rsidP="003D151F">
      <w:pPr>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cs="Times New Roman"/>
        </w:rPr>
      </w:pPr>
      <w:r w:rsidRPr="00B75EA1">
        <w:rPr>
          <w:rFonts w:ascii="Times New Roman" w:hAnsi="Times New Roman" w:cs="Times New Roman"/>
          <w:b/>
          <w:bCs/>
          <w:color w:val="1C190F"/>
        </w:rPr>
        <w:t>2. Προτείνεται η αντικατάσταση τ</w:t>
      </w:r>
      <w:r w:rsidR="00B37053" w:rsidRPr="00B75EA1">
        <w:rPr>
          <w:rFonts w:ascii="Times New Roman" w:hAnsi="Times New Roman" w:cs="Times New Roman"/>
          <w:b/>
          <w:bCs/>
          <w:color w:val="1C190F"/>
        </w:rPr>
        <w:t>ης</w:t>
      </w:r>
      <w:r w:rsidRPr="00B75EA1">
        <w:rPr>
          <w:rFonts w:ascii="Times New Roman" w:hAnsi="Times New Roman" w:cs="Times New Roman"/>
          <w:b/>
          <w:bCs/>
          <w:color w:val="1C190F"/>
        </w:rPr>
        <w:t xml:space="preserve"> </w:t>
      </w:r>
      <w:r w:rsidR="00B37053" w:rsidRPr="00B75EA1">
        <w:rPr>
          <w:rFonts w:ascii="Times New Roman" w:hAnsi="Times New Roman" w:cs="Times New Roman"/>
          <w:b/>
          <w:bCs/>
        </w:rPr>
        <w:t>π</w:t>
      </w:r>
      <w:r w:rsidRPr="00B75EA1">
        <w:rPr>
          <w:rFonts w:ascii="Times New Roman" w:hAnsi="Times New Roman" w:cs="Times New Roman"/>
          <w:b/>
          <w:bCs/>
        </w:rPr>
        <w:t>αρ. 1 του ά</w:t>
      </w:r>
      <w:r w:rsidRPr="00B75EA1">
        <w:rPr>
          <w:rFonts w:ascii="Times New Roman" w:hAnsi="Times New Roman" w:cs="Times New Roman"/>
          <w:b/>
          <w:bCs/>
          <w:color w:val="1C190F"/>
        </w:rPr>
        <w:t>ρθρου 49</w:t>
      </w:r>
      <w:r w:rsidR="00B37053" w:rsidRPr="00B75EA1">
        <w:rPr>
          <w:rFonts w:ascii="Times New Roman" w:hAnsi="Times New Roman" w:cs="Times New Roman"/>
          <w:b/>
          <w:bCs/>
          <w:color w:val="1C190F"/>
        </w:rPr>
        <w:t xml:space="preserve"> </w:t>
      </w:r>
      <w:r w:rsidR="001F5B95" w:rsidRPr="00B75EA1">
        <w:rPr>
          <w:rFonts w:ascii="Times New Roman" w:hAnsi="Times New Roman" w:cs="Times New Roman"/>
          <w:b/>
          <w:bCs/>
          <w:color w:val="1C190F"/>
        </w:rPr>
        <w:t xml:space="preserve">του Κώδικα ΜΔΝ </w:t>
      </w:r>
      <w:r w:rsidR="00B37053" w:rsidRPr="00B75EA1">
        <w:rPr>
          <w:rFonts w:ascii="Times New Roman" w:hAnsi="Times New Roman" w:cs="Times New Roman"/>
          <w:b/>
          <w:bCs/>
          <w:color w:val="1C190F"/>
        </w:rPr>
        <w:t>-</w:t>
      </w:r>
      <w:r w:rsidRPr="00B75EA1">
        <w:rPr>
          <w:rFonts w:ascii="Times New Roman" w:hAnsi="Times New Roman" w:cs="Times New Roman"/>
          <w:b/>
          <w:bCs/>
          <w:color w:val="1C190F"/>
        </w:rPr>
        <w:t xml:space="preserve"> </w:t>
      </w:r>
      <w:r w:rsidR="00B37053" w:rsidRPr="00B75EA1">
        <w:rPr>
          <w:rFonts w:ascii="Times New Roman" w:hAnsi="Times New Roman" w:cs="Times New Roman"/>
          <w:b/>
          <w:bCs/>
          <w:color w:val="1C190F"/>
        </w:rPr>
        <w:t>Συνέπειες Λύσης της Σύμβασης Συμμετοχής στην Αγορά ΜΔΝ</w:t>
      </w:r>
      <w:r w:rsidRPr="00B75EA1">
        <w:rPr>
          <w:rFonts w:ascii="Times New Roman" w:hAnsi="Times New Roman" w:cs="Times New Roman"/>
          <w:b/>
          <w:bCs/>
          <w:color w:val="1C190F"/>
        </w:rPr>
        <w:t>, ως ακολούθως</w:t>
      </w:r>
      <w:r w:rsidRPr="00B75EA1">
        <w:rPr>
          <w:rFonts w:ascii="Times New Roman" w:hAnsi="Times New Roman" w:cs="Times New Roman"/>
        </w:rPr>
        <w:t>:</w:t>
      </w:r>
    </w:p>
    <w:p w14:paraId="6EF9B966" w14:textId="7DF0ACA1" w:rsidR="005A1B0C" w:rsidRPr="00B75EA1" w:rsidRDefault="005A1B0C" w:rsidP="005A1B0C">
      <w:pPr>
        <w:spacing w:after="0"/>
        <w:jc w:val="both"/>
        <w:rPr>
          <w:rFonts w:ascii="Times New Roman" w:hAnsi="Times New Roman" w:cs="Times New Roman"/>
        </w:rPr>
      </w:pPr>
      <w:r w:rsidRPr="00B75EA1">
        <w:rPr>
          <w:rFonts w:ascii="Times New Roman" w:hAnsi="Times New Roman" w:cs="Times New Roman"/>
        </w:rPr>
        <w:t>«1. Η Σύμβαση Συμμετοχής στην Αγορά ΜΔΝ λύεται σε περίπτωση έγγραφης καταγγελίας από καθένα από τα μέρη, όπως ειδικότερα προβλέπεται στα αντίστοιχα πρότυπα σύμβασης που προσαρτώνται στον παρόντα Κώδικα, καθώς και σε περίπτωση οικειοθελούς αποχώρησης Εκπροσώπου Φορτίου από την Αγορά ΜΔΝ εφόσον έχουν τηρηθεί οι προϋποθέσεις της παρ. 6 του άρθρου 13. Ο Διαχειριστής ΜΔΝ καταγγέλλει τη σύμβαση και σε κάθε άλλη περίπτωση που ρητά ορίζεται στις διατάξεις του παρόντος Κώδικα.»</w:t>
      </w:r>
    </w:p>
    <w:p w14:paraId="7D4A72B7" w14:textId="77777777" w:rsidR="005A1B0C" w:rsidRPr="00B75EA1" w:rsidRDefault="005A1B0C" w:rsidP="005A1B0C">
      <w:pPr>
        <w:pStyle w:val="Default"/>
        <w:rPr>
          <w:rFonts w:ascii="Times New Roman" w:hAnsi="Times New Roman" w:cs="Times New Roman"/>
          <w:sz w:val="20"/>
          <w:szCs w:val="20"/>
        </w:rPr>
      </w:pPr>
    </w:p>
    <w:p w14:paraId="3E19F98C" w14:textId="31FBC172" w:rsidR="001175CB" w:rsidRPr="00B75EA1" w:rsidRDefault="00E32D50" w:rsidP="003D151F">
      <w:pPr>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cs="Times New Roman"/>
          <w:b/>
          <w:bCs/>
          <w:color w:val="1C190F"/>
        </w:rPr>
      </w:pPr>
      <w:r w:rsidRPr="00B75EA1">
        <w:rPr>
          <w:rFonts w:ascii="Times New Roman" w:hAnsi="Times New Roman" w:cs="Times New Roman"/>
          <w:b/>
          <w:bCs/>
          <w:color w:val="1C190F"/>
        </w:rPr>
        <w:t>3</w:t>
      </w:r>
      <w:r w:rsidR="001175CB" w:rsidRPr="00B75EA1">
        <w:rPr>
          <w:rFonts w:ascii="Times New Roman" w:hAnsi="Times New Roman" w:cs="Times New Roman"/>
          <w:b/>
          <w:bCs/>
          <w:color w:val="1C190F"/>
        </w:rPr>
        <w:t xml:space="preserve">. </w:t>
      </w:r>
      <w:r w:rsidR="003144A7" w:rsidRPr="00B75EA1">
        <w:rPr>
          <w:rFonts w:ascii="Times New Roman" w:hAnsi="Times New Roman" w:cs="Times New Roman"/>
          <w:b/>
          <w:bCs/>
          <w:color w:val="1C190F"/>
        </w:rPr>
        <w:t>Προσθήκη διάκρισης Λογαριασμού Λ-Ζ</w:t>
      </w:r>
      <w:r w:rsidR="00B37053" w:rsidRPr="00B75EA1">
        <w:rPr>
          <w:rFonts w:ascii="Times New Roman" w:hAnsi="Times New Roman" w:cs="Times New Roman"/>
          <w:b/>
          <w:bCs/>
          <w:color w:val="1C190F"/>
        </w:rPr>
        <w:t xml:space="preserve"> σε δύο υπολογαριασμούς</w:t>
      </w:r>
      <w:r w:rsidR="003144A7" w:rsidRPr="00B75EA1">
        <w:rPr>
          <w:rFonts w:ascii="Times New Roman" w:hAnsi="Times New Roman" w:cs="Times New Roman"/>
          <w:b/>
          <w:bCs/>
          <w:color w:val="1C190F"/>
        </w:rPr>
        <w:t xml:space="preserve"> στην παρ. 1 του άρθρου 170</w:t>
      </w:r>
      <w:r w:rsidR="001F5B95" w:rsidRPr="00B75EA1">
        <w:rPr>
          <w:rFonts w:ascii="Times New Roman" w:hAnsi="Times New Roman" w:cs="Times New Roman"/>
          <w:b/>
          <w:bCs/>
          <w:color w:val="1C190F"/>
        </w:rPr>
        <w:t xml:space="preserve"> του Κώδικα ΜΔΝ</w:t>
      </w:r>
      <w:r w:rsidR="001175CB" w:rsidRPr="00B75EA1">
        <w:rPr>
          <w:rFonts w:ascii="Times New Roman" w:hAnsi="Times New Roman" w:cs="Times New Roman"/>
          <w:b/>
          <w:bCs/>
          <w:color w:val="1C190F"/>
        </w:rPr>
        <w:t>:</w:t>
      </w:r>
    </w:p>
    <w:p w14:paraId="05873EB0" w14:textId="10579A76" w:rsidR="001175CB" w:rsidRPr="00B75EA1" w:rsidRDefault="001175CB" w:rsidP="002F3067">
      <w:pPr>
        <w:spacing w:before="120" w:after="120"/>
        <w:jc w:val="both"/>
        <w:rPr>
          <w:rFonts w:ascii="Times New Roman" w:hAnsi="Times New Roman" w:cs="Times New Roman"/>
        </w:rPr>
      </w:pPr>
      <w:r w:rsidRPr="00B75EA1">
        <w:rPr>
          <w:rFonts w:ascii="Times New Roman" w:hAnsi="Times New Roman" w:cs="Times New Roman"/>
        </w:rPr>
        <w:t>«(Λ-Ζ) Ειδικός Λογαριασμός για τις Μονάδες ΑΠΕ και ΣΗΘΥΑ Μη</w:t>
      </w:r>
      <w:r w:rsidR="00630311">
        <w:rPr>
          <w:rFonts w:ascii="Times New Roman" w:hAnsi="Times New Roman" w:cs="Times New Roman"/>
        </w:rPr>
        <w:t xml:space="preserve"> </w:t>
      </w:r>
      <w:r w:rsidRPr="00B75EA1">
        <w:rPr>
          <w:rFonts w:ascii="Times New Roman" w:hAnsi="Times New Roman" w:cs="Times New Roman"/>
        </w:rPr>
        <w:t xml:space="preserve">Διασυνδεδεμένων Νησιών, με επιμέρους λογαριασμούς ανά́ Συμμετέχοντα. Διαχωρίζεται λογιστικά́ στους εξής δύο Υπολογαριασμούς: </w:t>
      </w:r>
    </w:p>
    <w:p w14:paraId="307C9CB6" w14:textId="77777777" w:rsidR="001175CB" w:rsidRPr="00B75EA1" w:rsidRDefault="001175CB" w:rsidP="002F3067">
      <w:pPr>
        <w:spacing w:before="120" w:after="120" w:line="240" w:lineRule="auto"/>
        <w:ind w:left="720"/>
        <w:jc w:val="both"/>
        <w:rPr>
          <w:rFonts w:ascii="Times New Roman" w:hAnsi="Times New Roman" w:cs="Times New Roman"/>
        </w:rPr>
      </w:pPr>
      <w:r w:rsidRPr="00B75EA1">
        <w:rPr>
          <w:rFonts w:ascii="Times New Roman" w:hAnsi="Times New Roman" w:cs="Times New Roman"/>
        </w:rPr>
        <w:t xml:space="preserve">Λ-Ζ1:  Υπολογαριασμός Αγοράς Ηλεκτρικής Ενέργειας. </w:t>
      </w:r>
    </w:p>
    <w:p w14:paraId="3794C37D" w14:textId="4848F0DD" w:rsidR="001175CB" w:rsidRPr="00B75EA1" w:rsidRDefault="001175CB" w:rsidP="002F3067">
      <w:pPr>
        <w:spacing w:before="120" w:after="120" w:line="240" w:lineRule="auto"/>
        <w:ind w:left="720"/>
        <w:jc w:val="both"/>
        <w:rPr>
          <w:rFonts w:ascii="Times New Roman" w:hAnsi="Times New Roman" w:cs="Times New Roman"/>
        </w:rPr>
      </w:pPr>
      <w:r w:rsidRPr="00B75EA1">
        <w:rPr>
          <w:rFonts w:ascii="Times New Roman" w:hAnsi="Times New Roman" w:cs="Times New Roman"/>
        </w:rPr>
        <w:t>Λ-Ζ2:  Υπολογαριασμός Ενισχύσεων.</w:t>
      </w:r>
      <w:r w:rsidR="003144A7" w:rsidRPr="00B75EA1">
        <w:rPr>
          <w:rFonts w:ascii="Times New Roman" w:hAnsi="Times New Roman" w:cs="Times New Roman"/>
        </w:rPr>
        <w:t>»</w:t>
      </w:r>
    </w:p>
    <w:p w14:paraId="314D2281" w14:textId="77777777" w:rsidR="002F3067" w:rsidRPr="00B75EA1" w:rsidRDefault="002F3067" w:rsidP="002F3067">
      <w:pPr>
        <w:spacing w:before="120" w:after="120" w:line="240" w:lineRule="auto"/>
        <w:ind w:left="720"/>
        <w:jc w:val="both"/>
        <w:rPr>
          <w:rFonts w:ascii="Times New Roman" w:hAnsi="Times New Roman" w:cs="Times New Roman"/>
        </w:rPr>
      </w:pPr>
    </w:p>
    <w:p w14:paraId="3A02A7E7" w14:textId="00C9BB66" w:rsidR="00D06021" w:rsidRPr="00B75EA1" w:rsidRDefault="001330DF" w:rsidP="003D151F">
      <w:pPr>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cs="Times New Roman"/>
          <w:b/>
          <w:bCs/>
          <w:color w:val="1C190F"/>
        </w:rPr>
      </w:pPr>
      <w:r w:rsidRPr="00B75EA1">
        <w:rPr>
          <w:rFonts w:ascii="Times New Roman" w:hAnsi="Times New Roman" w:cs="Times New Roman"/>
          <w:b/>
          <w:bCs/>
          <w:color w:val="1C190F"/>
        </w:rPr>
        <w:t>4</w:t>
      </w:r>
      <w:r w:rsidR="00D06021" w:rsidRPr="00B75EA1">
        <w:rPr>
          <w:rFonts w:ascii="Times New Roman" w:hAnsi="Times New Roman" w:cs="Times New Roman"/>
          <w:b/>
          <w:bCs/>
          <w:color w:val="1C190F"/>
        </w:rPr>
        <w:t xml:space="preserve">. Προτείνεται η αντικατάσταση του άρθρου 172 του Κώδικα ΜΔΝ ως ακολούθως : </w:t>
      </w:r>
    </w:p>
    <w:p w14:paraId="12F021DC" w14:textId="3798D46E" w:rsidR="00D06021" w:rsidRPr="00B75EA1" w:rsidRDefault="002F3067" w:rsidP="00584E88">
      <w:pPr>
        <w:pStyle w:val="Default"/>
        <w:jc w:val="both"/>
        <w:rPr>
          <w:rFonts w:ascii="Times New Roman" w:hAnsi="Times New Roman" w:cs="Times New Roman"/>
          <w:sz w:val="22"/>
          <w:szCs w:val="22"/>
        </w:rPr>
      </w:pPr>
      <w:r w:rsidRPr="00B75EA1">
        <w:rPr>
          <w:rFonts w:ascii="Times New Roman" w:hAnsi="Times New Roman" w:cs="Times New Roman"/>
          <w:sz w:val="22"/>
          <w:szCs w:val="22"/>
        </w:rPr>
        <w:t>«</w:t>
      </w:r>
      <w:r w:rsidR="00D06021" w:rsidRPr="00B75EA1">
        <w:rPr>
          <w:rFonts w:ascii="Times New Roman" w:hAnsi="Times New Roman" w:cs="Times New Roman"/>
          <w:sz w:val="22"/>
          <w:szCs w:val="22"/>
        </w:rPr>
        <w:t xml:space="preserve">1. Χρεώσεις του Λογαριασμού Λ-Α αποτελούν: </w:t>
      </w:r>
    </w:p>
    <w:p w14:paraId="00A299B6" w14:textId="58BDD137" w:rsidR="00D06021" w:rsidRPr="00B75EA1" w:rsidRDefault="00D06021" w:rsidP="00177E70">
      <w:pPr>
        <w:pStyle w:val="Default"/>
        <w:numPr>
          <w:ilvl w:val="0"/>
          <w:numId w:val="9"/>
        </w:numPr>
        <w:jc w:val="both"/>
        <w:rPr>
          <w:rFonts w:ascii="Times New Roman" w:hAnsi="Times New Roman" w:cs="Times New Roman"/>
          <w:sz w:val="22"/>
          <w:szCs w:val="22"/>
        </w:rPr>
      </w:pPr>
      <w:r w:rsidRPr="00B75EA1">
        <w:rPr>
          <w:rFonts w:ascii="Times New Roman" w:hAnsi="Times New Roman" w:cs="Times New Roman"/>
          <w:sz w:val="22"/>
          <w:szCs w:val="22"/>
        </w:rPr>
        <w:t>Οι πληρωμές του Διαχειριστή ΜΔΝ προς τις Συμβατικές Μονάδες για την ηλεκτρική ενέργεια που εγχέεται από αυτές στο Δίκτυο ΜΔΝ, καθώς και οι τυχόν συμπληρωματικές πληρωμές που προκύπτουν κατά την Ετήσια Οριστική Εκκαθάριση. Επιπλέον, χρεώσεις του Λογαριασμού αποτελούν και οι τυχόν επιστροφές από χρεώσεις των Εκπροσώπων Φορτίου της παραγράφου 2 που προκύπτουν κατά την Ετήσια Οριστική Εκκαθάριση.</w:t>
      </w:r>
    </w:p>
    <w:p w14:paraId="0B7A1A82" w14:textId="7676F944" w:rsidR="00D06021" w:rsidRPr="00B75EA1" w:rsidRDefault="00D06021" w:rsidP="00177E70">
      <w:pPr>
        <w:pStyle w:val="Default"/>
        <w:numPr>
          <w:ilvl w:val="0"/>
          <w:numId w:val="9"/>
        </w:numPr>
        <w:jc w:val="both"/>
        <w:rPr>
          <w:rFonts w:ascii="Times New Roman" w:hAnsi="Times New Roman" w:cs="Times New Roman"/>
          <w:color w:val="auto"/>
          <w:sz w:val="22"/>
          <w:szCs w:val="22"/>
        </w:rPr>
      </w:pPr>
      <w:r w:rsidRPr="00B75EA1">
        <w:rPr>
          <w:rFonts w:ascii="Times New Roman" w:hAnsi="Times New Roman" w:cs="Times New Roman"/>
          <w:sz w:val="22"/>
          <w:szCs w:val="22"/>
        </w:rPr>
        <w:t xml:space="preserve">Οι πληρωμές του Διαχειριστή ΜΔΝ προς τις Μονάδες Υβριδικού Σταθμού για την ενέργεια που εγχέουν στο Δίκτυο ΜΔΝ, η οποία προέρχεται </w:t>
      </w:r>
      <w:r w:rsidRPr="00B75EA1">
        <w:rPr>
          <w:rFonts w:ascii="Times New Roman" w:hAnsi="Times New Roman" w:cs="Times New Roman"/>
          <w:color w:val="auto"/>
          <w:sz w:val="22"/>
          <w:szCs w:val="22"/>
        </w:rPr>
        <w:t xml:space="preserve">από απορρόφηση ενέργειας από το Δίκτυο ΜΔΝ κατόπιν εντολής του Διαχειριστή ΜΔΝ για διάθεση από τον Υβριδικό Σταθμό της εγγυημένης του παροχής, και νοείται ως συμβατική ενέργεια, καθώς και οι τυχόν συμπληρωματικές πληρωμές που προκύπτουν κατά την Ετήσια Οριστική Εκκαθάριση. Επιπλέον, χρεώσεις του Λογαριασμού αποτελούν και οι τυχόν επιστροφές από χρεώσεις των Εκπροσώπων Φορτίου της παραγράφου 2 που προκύπτουν κατά την Ετήσια Οριστική Εκκαθάριση. </w:t>
      </w:r>
    </w:p>
    <w:p w14:paraId="6657B6F4" w14:textId="77777777" w:rsidR="00D06021" w:rsidRPr="00B75EA1" w:rsidRDefault="00D06021" w:rsidP="00584E88">
      <w:pPr>
        <w:pStyle w:val="Default"/>
        <w:spacing w:after="78"/>
        <w:jc w:val="both"/>
        <w:rPr>
          <w:rFonts w:ascii="Times New Roman" w:hAnsi="Times New Roman" w:cs="Times New Roman"/>
          <w:sz w:val="22"/>
          <w:szCs w:val="22"/>
        </w:rPr>
      </w:pPr>
      <w:r w:rsidRPr="00B75EA1">
        <w:rPr>
          <w:rFonts w:ascii="Times New Roman" w:hAnsi="Times New Roman" w:cs="Times New Roman"/>
          <w:color w:val="auto"/>
          <w:sz w:val="22"/>
          <w:szCs w:val="22"/>
        </w:rPr>
        <w:t xml:space="preserve">2. Πιστώσεις του Λογαριασμού Λ-Α αποτελούν οι χρεώσεις των Εκπροσώπων Φορτίου για τη συμβατική ενέργεια που εγχέεται στο Δίκτυο ΜΔΝ από Συμβατικές Μονάδες και από Υβριδικούς σταθμούς, καθώς και οι χρεώσεις για την αποζημίωση του τιμήματος Διαθεσιμότητας Ισχύος Υβριδικών σταθμών, με βάση την Ενέργεια Χρέωσης από Συμβατικές Μονάδες και Υβριδικούς σταθμούς που τους </w:t>
      </w:r>
      <w:r w:rsidRPr="00B75EA1">
        <w:rPr>
          <w:rFonts w:ascii="Times New Roman" w:hAnsi="Times New Roman" w:cs="Times New Roman"/>
          <w:sz w:val="22"/>
          <w:szCs w:val="22"/>
        </w:rPr>
        <w:t xml:space="preserve">αναλογεί, καθώς και οι τυχόν συμπληρωματικές χρεώσεις αυτών που προκύπτουν κατά την Ετήσια Οριστική Εκκαθάριση. Επιπλέον, πιστώσεις του Λογαριασμού αποτελούν και οι τυχόν επιστροφές από πληρωμές των Συμβατικών Μονάδων και των Μονάδων Υβριδικών σταθμών για την έγχυση ενέργειας που νοείται ως συμβατική της παραγράφου 1 που προκύπτουν κατά την Ετήσια Οριστική Εκκαθάριση. Ο Λογαριασμός Λ-Α πιστώνεται και με τα ποσά της περίπτωσης ε΄ της παραγράφου 1 του άρθρου 178 ώστε να ισοσκελίζεται. </w:t>
      </w:r>
    </w:p>
    <w:p w14:paraId="4E12A4A7" w14:textId="77777777" w:rsidR="00D06021" w:rsidRPr="00B75EA1" w:rsidRDefault="00D06021" w:rsidP="00584E88">
      <w:pPr>
        <w:pStyle w:val="Default"/>
        <w:spacing w:after="78"/>
        <w:jc w:val="both"/>
        <w:rPr>
          <w:rFonts w:ascii="Times New Roman" w:hAnsi="Times New Roman" w:cs="Times New Roman"/>
          <w:sz w:val="22"/>
          <w:szCs w:val="22"/>
        </w:rPr>
      </w:pPr>
      <w:r w:rsidRPr="00B75EA1">
        <w:rPr>
          <w:rFonts w:ascii="Times New Roman" w:hAnsi="Times New Roman" w:cs="Times New Roman"/>
          <w:sz w:val="22"/>
          <w:szCs w:val="22"/>
        </w:rPr>
        <w:t xml:space="preserve">3. Τυχόν υπόλοιπο του Λογαριασμού Λ-Α, που αφορά σε Διαθεσιμότητα Ισχύος Υβριδικών σταθμών, μεταφέρεται στο Λογαριασμό Λ-Γ ώστε ο Λογαριασμός Λ-Α να εμφανίζεται ισοσκελισμένος. </w:t>
      </w:r>
    </w:p>
    <w:p w14:paraId="3C4377BB" w14:textId="77777777" w:rsidR="00D06021" w:rsidRPr="00B75EA1" w:rsidRDefault="00D06021" w:rsidP="00584E88">
      <w:pPr>
        <w:pStyle w:val="Default"/>
        <w:spacing w:after="78"/>
        <w:jc w:val="both"/>
        <w:rPr>
          <w:rFonts w:ascii="Times New Roman" w:hAnsi="Times New Roman" w:cs="Times New Roman"/>
          <w:sz w:val="22"/>
          <w:szCs w:val="22"/>
        </w:rPr>
      </w:pPr>
      <w:r w:rsidRPr="00B75EA1">
        <w:rPr>
          <w:rFonts w:ascii="Times New Roman" w:hAnsi="Times New Roman" w:cs="Times New Roman"/>
          <w:sz w:val="22"/>
          <w:szCs w:val="22"/>
        </w:rPr>
        <w:t xml:space="preserve">4. Για τις ανωτέρω χρεοπιστώσεις ακολουθείται η διαδικασία της Μηνιαίας Εκκαθάρισης και της Ετήσιας Οριστικής Εκκαθάρισης και τα ποσά αυτά συμπεριλαμβάνονται στις αντίστοιχες Καταστάσεις Εκκαθαρίσεων. </w:t>
      </w:r>
    </w:p>
    <w:p w14:paraId="03550B57" w14:textId="4A21339A" w:rsidR="00D06021" w:rsidRPr="00B75EA1" w:rsidRDefault="00D06021" w:rsidP="00584E88">
      <w:pPr>
        <w:pStyle w:val="Default"/>
        <w:jc w:val="both"/>
        <w:rPr>
          <w:rFonts w:ascii="Times New Roman" w:hAnsi="Times New Roman" w:cs="Times New Roman"/>
          <w:sz w:val="22"/>
          <w:szCs w:val="22"/>
        </w:rPr>
      </w:pPr>
      <w:r w:rsidRPr="00B75EA1">
        <w:rPr>
          <w:rFonts w:ascii="Times New Roman" w:hAnsi="Times New Roman" w:cs="Times New Roman"/>
          <w:sz w:val="22"/>
          <w:szCs w:val="22"/>
        </w:rPr>
        <w:t>5. Ο Λογαριασμός Λ-Α, μετά την Ετήσια Οριστική Εκκαθάριση εμφανίζεται ισοσκελισμένος με μηδενικό υπόλοιπο για το έτος στο οποίο αφορά η εκκαθάριση.</w:t>
      </w:r>
      <w:r w:rsidR="002F3067" w:rsidRPr="00B75EA1">
        <w:rPr>
          <w:rFonts w:ascii="Times New Roman" w:hAnsi="Times New Roman" w:cs="Times New Roman"/>
          <w:sz w:val="22"/>
          <w:szCs w:val="22"/>
        </w:rPr>
        <w:t>»</w:t>
      </w:r>
      <w:r w:rsidRPr="00B75EA1">
        <w:rPr>
          <w:rFonts w:ascii="Times New Roman" w:hAnsi="Times New Roman" w:cs="Times New Roman"/>
          <w:sz w:val="22"/>
          <w:szCs w:val="22"/>
        </w:rPr>
        <w:t xml:space="preserve"> </w:t>
      </w:r>
    </w:p>
    <w:p w14:paraId="70A0CA3D" w14:textId="77777777" w:rsidR="00D06021" w:rsidRPr="00B75EA1" w:rsidRDefault="00D06021" w:rsidP="00584E88">
      <w:pPr>
        <w:pStyle w:val="Default"/>
        <w:jc w:val="both"/>
        <w:rPr>
          <w:rFonts w:ascii="Times New Roman" w:hAnsi="Times New Roman" w:cs="Times New Roman"/>
          <w:sz w:val="20"/>
          <w:szCs w:val="20"/>
        </w:rPr>
      </w:pPr>
    </w:p>
    <w:p w14:paraId="637B8ADC" w14:textId="5626D9EC" w:rsidR="00D06021" w:rsidRPr="00B75EA1" w:rsidRDefault="001330DF" w:rsidP="003D151F">
      <w:pPr>
        <w:pStyle w:val="Default"/>
        <w:pBdr>
          <w:top w:val="single" w:sz="4" w:space="1" w:color="auto"/>
          <w:left w:val="single" w:sz="4" w:space="4" w:color="auto"/>
          <w:bottom w:val="single" w:sz="4" w:space="1" w:color="auto"/>
          <w:right w:val="single" w:sz="4" w:space="4" w:color="auto"/>
        </w:pBdr>
        <w:spacing w:after="177"/>
        <w:jc w:val="both"/>
        <w:rPr>
          <w:rFonts w:ascii="Times New Roman" w:hAnsi="Times New Roman" w:cs="Times New Roman"/>
          <w:sz w:val="22"/>
          <w:szCs w:val="22"/>
        </w:rPr>
      </w:pPr>
      <w:r w:rsidRPr="00B75EA1">
        <w:rPr>
          <w:rFonts w:ascii="Times New Roman" w:hAnsi="Times New Roman" w:cs="Times New Roman"/>
          <w:b/>
          <w:bCs/>
          <w:sz w:val="22"/>
          <w:szCs w:val="22"/>
        </w:rPr>
        <w:t>5</w:t>
      </w:r>
      <w:r w:rsidR="00D06021" w:rsidRPr="00B75EA1">
        <w:rPr>
          <w:rFonts w:ascii="Times New Roman" w:hAnsi="Times New Roman" w:cs="Times New Roman"/>
          <w:b/>
          <w:bCs/>
          <w:sz w:val="22"/>
          <w:szCs w:val="22"/>
        </w:rPr>
        <w:t xml:space="preserve">. Προτείνεται η αντικατάσταση των παρ. 1 και 2 του άρθρου 174 του Κώδικα ΜΔΝ ως ακολούθως : </w:t>
      </w:r>
    </w:p>
    <w:p w14:paraId="158AFEB4" w14:textId="5F3DBF60" w:rsidR="00D06021" w:rsidRPr="00B75EA1" w:rsidRDefault="002F3067" w:rsidP="00584E88">
      <w:pPr>
        <w:pStyle w:val="Default"/>
        <w:spacing w:after="177"/>
        <w:jc w:val="both"/>
        <w:rPr>
          <w:rFonts w:ascii="Times New Roman" w:hAnsi="Times New Roman" w:cs="Times New Roman"/>
          <w:color w:val="auto"/>
          <w:sz w:val="22"/>
          <w:szCs w:val="22"/>
        </w:rPr>
      </w:pPr>
      <w:r w:rsidRPr="00B75EA1">
        <w:rPr>
          <w:rFonts w:ascii="Times New Roman" w:hAnsi="Times New Roman" w:cs="Times New Roman"/>
          <w:sz w:val="22"/>
          <w:szCs w:val="22"/>
        </w:rPr>
        <w:t>«</w:t>
      </w:r>
      <w:r w:rsidR="00D06021" w:rsidRPr="00B75EA1">
        <w:rPr>
          <w:rFonts w:ascii="Times New Roman" w:hAnsi="Times New Roman" w:cs="Times New Roman"/>
          <w:sz w:val="22"/>
          <w:szCs w:val="22"/>
        </w:rPr>
        <w:t xml:space="preserve">1. Χρεώσεις του Λογαριασμού Λ-Γ αποτελούν οι πληρωμές του Διαχειριστή ΜΔΝ προς τις Συμβατικές Μονάδες και τις Μονάδες </w:t>
      </w:r>
      <w:r w:rsidR="00D06021" w:rsidRPr="00B75EA1">
        <w:rPr>
          <w:rFonts w:ascii="Times New Roman" w:hAnsi="Times New Roman" w:cs="Times New Roman"/>
          <w:color w:val="auto"/>
          <w:sz w:val="22"/>
          <w:szCs w:val="22"/>
        </w:rPr>
        <w:t xml:space="preserve">Υβριδικού Σταθμού για τη διαθεσιμότητα ισχύος τους, καθώς και οι τυχόν συμπληρωματικές πληρωμές που προκύπτουν κατά την Ετήσια Οριστική Εκκαθάριση. Επιπλέον, χρεώσεις του Λογαριασμού αποτελούν και οι τυχόν επιστροφές από χρεώσεις των Εκπροσώπων Φορτίου της παραγράφου 2, που προκύπτουν κατά την Ετήσια Οριστική Εκκαθάριση. </w:t>
      </w:r>
    </w:p>
    <w:p w14:paraId="1059FEA2" w14:textId="77777777" w:rsidR="00D06021" w:rsidRPr="00B75EA1" w:rsidRDefault="00D06021" w:rsidP="00584E88">
      <w:pPr>
        <w:pStyle w:val="Default"/>
        <w:jc w:val="both"/>
        <w:rPr>
          <w:rFonts w:ascii="Times New Roman" w:hAnsi="Times New Roman" w:cs="Times New Roman"/>
          <w:sz w:val="22"/>
          <w:szCs w:val="22"/>
        </w:rPr>
      </w:pPr>
      <w:r w:rsidRPr="00B75EA1">
        <w:rPr>
          <w:rFonts w:ascii="Times New Roman" w:hAnsi="Times New Roman" w:cs="Times New Roman"/>
          <w:color w:val="auto"/>
          <w:sz w:val="22"/>
          <w:szCs w:val="22"/>
        </w:rPr>
        <w:t xml:space="preserve">2. Πιστώσεις του Λογαριασμού Λ-Γ αποτελούν οι χρεώσεις των Εκπροσώπων Φορτίου για την κάλυψη του κόστους του Μηχανισμού Διασφάλισης Επαρκούς Ισχύος με βάση τις χρεώσεις της παραγράφου 1, καθώς και οι τυχόν συμπληρωματικές χρεώσεις αυτών που προκύπτουν κατά την Ετήσια Οριστική Εκκαθάριση. Επιπλέον, πιστώσεις του Λογαριασμού αποτελούν και οι τυχόν επιστροφές από πληρωμές των Συμβατικών Μονάδων και των Μονάδων Υβριδικού </w:t>
      </w:r>
      <w:r w:rsidRPr="00B75EA1">
        <w:rPr>
          <w:rFonts w:ascii="Times New Roman" w:hAnsi="Times New Roman" w:cs="Times New Roman"/>
          <w:sz w:val="22"/>
          <w:szCs w:val="22"/>
        </w:rPr>
        <w:t xml:space="preserve">Σταθμού της παραγράφου 1, που προκύπτουν κατά την Ετήσια Οριστική Εκκαθάριση. Ο Λογαριασμός Λ-Γ δύναται να πιστώνεται με τα ποσά της παραγράφου 3 του Άρθρου 172, ώστε να ισοσκελίζεται.» </w:t>
      </w:r>
    </w:p>
    <w:p w14:paraId="678A4C04" w14:textId="77777777" w:rsidR="00D06021" w:rsidRPr="00B75EA1" w:rsidRDefault="00D06021" w:rsidP="00584E88">
      <w:pPr>
        <w:pStyle w:val="Default"/>
        <w:jc w:val="both"/>
        <w:rPr>
          <w:rFonts w:ascii="Times New Roman" w:hAnsi="Times New Roman" w:cs="Times New Roman"/>
          <w:sz w:val="22"/>
          <w:szCs w:val="22"/>
        </w:rPr>
      </w:pPr>
    </w:p>
    <w:p w14:paraId="4DE2155F" w14:textId="2B831079" w:rsidR="00D06021" w:rsidRPr="00B75EA1" w:rsidRDefault="00E32D50" w:rsidP="003D151F">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b/>
          <w:bCs/>
          <w:sz w:val="22"/>
          <w:szCs w:val="22"/>
        </w:rPr>
      </w:pPr>
      <w:r w:rsidRPr="00B75EA1">
        <w:rPr>
          <w:rFonts w:ascii="Times New Roman" w:hAnsi="Times New Roman" w:cs="Times New Roman"/>
          <w:b/>
          <w:bCs/>
          <w:sz w:val="22"/>
          <w:szCs w:val="22"/>
        </w:rPr>
        <w:t>6</w:t>
      </w:r>
      <w:r w:rsidR="00D06021" w:rsidRPr="00B75EA1">
        <w:rPr>
          <w:rFonts w:ascii="Times New Roman" w:hAnsi="Times New Roman" w:cs="Times New Roman"/>
          <w:b/>
          <w:bCs/>
          <w:sz w:val="22"/>
          <w:szCs w:val="22"/>
        </w:rPr>
        <w:t>. Προτείνεται η αντικατάσταση του άρθρου 178 του Κώδικα ΜΔΝ ως ακολούθως :</w:t>
      </w:r>
    </w:p>
    <w:p w14:paraId="43E1C351" w14:textId="77777777" w:rsidR="001A2BF5" w:rsidRPr="00B75EA1" w:rsidRDefault="001A2BF5" w:rsidP="00584E88">
      <w:pPr>
        <w:pStyle w:val="Default"/>
        <w:jc w:val="both"/>
        <w:rPr>
          <w:rFonts w:ascii="Times New Roman" w:hAnsi="Times New Roman" w:cs="Times New Roman"/>
          <w:b/>
          <w:bCs/>
          <w:sz w:val="22"/>
          <w:szCs w:val="22"/>
        </w:rPr>
      </w:pPr>
    </w:p>
    <w:p w14:paraId="55DEFCDF" w14:textId="507905D8" w:rsidR="00D06021" w:rsidRPr="00B75EA1" w:rsidRDefault="00D06021" w:rsidP="00584E88">
      <w:pPr>
        <w:pStyle w:val="Default"/>
        <w:jc w:val="both"/>
        <w:rPr>
          <w:rFonts w:ascii="Times New Roman" w:hAnsi="Times New Roman" w:cs="Times New Roman"/>
          <w:sz w:val="22"/>
          <w:szCs w:val="22"/>
        </w:rPr>
      </w:pPr>
      <w:r w:rsidRPr="00B75EA1">
        <w:rPr>
          <w:rFonts w:ascii="Times New Roman" w:hAnsi="Times New Roman" w:cs="Times New Roman"/>
          <w:sz w:val="22"/>
          <w:szCs w:val="22"/>
        </w:rPr>
        <w:t xml:space="preserve">«Άρθρο 178 - Λογιστικές πράξεις για τον Ειδικό Λογαριασμό για Μονάδες ΑΠΕ/ ΣΗΘΥΑ ΜΔΝ (Λ-Ζ) </w:t>
      </w:r>
    </w:p>
    <w:p w14:paraId="226FB314" w14:textId="77777777" w:rsidR="005C7B8E" w:rsidRPr="00B75EA1" w:rsidRDefault="005C7B8E" w:rsidP="00584E88">
      <w:pPr>
        <w:pStyle w:val="Default"/>
        <w:jc w:val="both"/>
        <w:rPr>
          <w:rFonts w:ascii="Times New Roman" w:hAnsi="Times New Roman" w:cs="Times New Roman"/>
          <w:sz w:val="22"/>
          <w:szCs w:val="22"/>
        </w:rPr>
      </w:pPr>
    </w:p>
    <w:p w14:paraId="6697DCD6" w14:textId="53E56565" w:rsidR="00D06021" w:rsidRPr="00B75EA1" w:rsidRDefault="00D06021" w:rsidP="00584E88">
      <w:pPr>
        <w:pStyle w:val="Default"/>
        <w:jc w:val="both"/>
        <w:rPr>
          <w:rFonts w:ascii="Times New Roman" w:hAnsi="Times New Roman" w:cs="Times New Roman"/>
          <w:sz w:val="22"/>
          <w:szCs w:val="22"/>
        </w:rPr>
      </w:pPr>
      <w:r w:rsidRPr="00B75EA1">
        <w:rPr>
          <w:rFonts w:ascii="Times New Roman" w:hAnsi="Times New Roman" w:cs="Times New Roman"/>
          <w:sz w:val="22"/>
          <w:szCs w:val="22"/>
        </w:rPr>
        <w:t xml:space="preserve">1. Χρεώσεις του Υπολογαριασμού Λ-Ζ1 αποτελούν: </w:t>
      </w:r>
    </w:p>
    <w:p w14:paraId="78E0A88A" w14:textId="71DCC263" w:rsidR="00D06021" w:rsidRPr="00B75EA1" w:rsidRDefault="00D06021" w:rsidP="00177E70">
      <w:pPr>
        <w:pStyle w:val="Default"/>
        <w:numPr>
          <w:ilvl w:val="0"/>
          <w:numId w:val="8"/>
        </w:numPr>
        <w:jc w:val="both"/>
        <w:rPr>
          <w:rFonts w:ascii="Times New Roman" w:hAnsi="Times New Roman" w:cs="Times New Roman"/>
          <w:sz w:val="22"/>
          <w:szCs w:val="22"/>
        </w:rPr>
      </w:pPr>
      <w:r w:rsidRPr="00B75EA1">
        <w:rPr>
          <w:rFonts w:ascii="Times New Roman" w:hAnsi="Times New Roman" w:cs="Times New Roman"/>
          <w:sz w:val="22"/>
          <w:szCs w:val="22"/>
        </w:rPr>
        <w:t xml:space="preserve">Οι πληρωμές του Διαχειριστή ΜΔΝ προς τις Μονάδες ΑΠΕ και ΣΗΘΥΑ και τις Μονάδες Υβριδικού Σταθμού για την ενέργεια που εγχέουν στο Δίκτυο ΜΔΝ και νοείται ως ΑΠΕ, καθώς και οι τυχόν συμπληρωματικές πληρωμές που προκύπτουν κατά την Ετήσια Οριστική Εκκαθάριση. </w:t>
      </w:r>
    </w:p>
    <w:p w14:paraId="5DAEC060" w14:textId="198D715F" w:rsidR="00D06021" w:rsidRPr="00B75EA1" w:rsidRDefault="00D06021" w:rsidP="00177E70">
      <w:pPr>
        <w:pStyle w:val="Default"/>
        <w:numPr>
          <w:ilvl w:val="0"/>
          <w:numId w:val="8"/>
        </w:numPr>
        <w:jc w:val="both"/>
        <w:rPr>
          <w:rFonts w:ascii="Times New Roman" w:hAnsi="Times New Roman" w:cs="Times New Roman"/>
          <w:sz w:val="22"/>
          <w:szCs w:val="22"/>
        </w:rPr>
      </w:pPr>
      <w:r w:rsidRPr="00B75EA1">
        <w:rPr>
          <w:rFonts w:ascii="Times New Roman" w:hAnsi="Times New Roman" w:cs="Times New Roman"/>
          <w:sz w:val="22"/>
          <w:szCs w:val="22"/>
        </w:rPr>
        <w:t xml:space="preserve">Οι πληρωμές του Διαχειριστή ΜΔΝ προς τις Μονάδες ΑΠΕ και ΣΗΘΥΑ για τη διαθεσιμότητα ισχύος τους, καθώς και οι τυχόν συμπληρωματικές πληρωμές που προκύπτουν κατά την Ετήσια Οριστική Εκκαθάριση. </w:t>
      </w:r>
    </w:p>
    <w:p w14:paraId="141701AA" w14:textId="6D6CDEDE" w:rsidR="00D06021" w:rsidRPr="00B75EA1" w:rsidRDefault="00D06021" w:rsidP="00177E70">
      <w:pPr>
        <w:pStyle w:val="Default"/>
        <w:numPr>
          <w:ilvl w:val="0"/>
          <w:numId w:val="8"/>
        </w:numPr>
        <w:jc w:val="both"/>
        <w:rPr>
          <w:rFonts w:ascii="Times New Roman" w:hAnsi="Times New Roman" w:cs="Times New Roman"/>
          <w:sz w:val="22"/>
          <w:szCs w:val="22"/>
        </w:rPr>
      </w:pPr>
      <w:r w:rsidRPr="00B75EA1">
        <w:rPr>
          <w:rFonts w:ascii="Times New Roman" w:hAnsi="Times New Roman" w:cs="Times New Roman"/>
          <w:sz w:val="22"/>
          <w:szCs w:val="22"/>
        </w:rPr>
        <w:t xml:space="preserve">Τυχόν επιστροφές από χρεώσεις των Εκπροσώπων Φορτίου που προκύπτουν κατά την Ετήσια Οριστική Εκκαθάριση και αφορούν στα στοιχεία (β) έως (γ) της παραγράφου 2. </w:t>
      </w:r>
    </w:p>
    <w:p w14:paraId="51A7819E" w14:textId="373D7672" w:rsidR="00D06021" w:rsidRPr="00B75EA1" w:rsidRDefault="00D06021" w:rsidP="00177E70">
      <w:pPr>
        <w:pStyle w:val="Default"/>
        <w:numPr>
          <w:ilvl w:val="0"/>
          <w:numId w:val="8"/>
        </w:numPr>
        <w:jc w:val="both"/>
        <w:rPr>
          <w:rFonts w:ascii="Times New Roman" w:hAnsi="Times New Roman" w:cs="Times New Roman"/>
          <w:sz w:val="22"/>
          <w:szCs w:val="22"/>
        </w:rPr>
      </w:pPr>
      <w:r w:rsidRPr="00B75EA1">
        <w:rPr>
          <w:rFonts w:ascii="Times New Roman" w:hAnsi="Times New Roman" w:cs="Times New Roman"/>
          <w:sz w:val="22"/>
          <w:szCs w:val="22"/>
        </w:rPr>
        <w:t xml:space="preserve">Τυχόν επιστροφές από χρεώσεις των παραγωγών από Μονάδες ΑΠΕ και ΣΗΘΥΑ και Μονάδες Υβριδικού Σταθμού που προκύπτουν κατά την Ετήσια Οριστική Εκκαθάριση και αφορούν στο στοιχείο (α) της παραγράφου 2. </w:t>
      </w:r>
    </w:p>
    <w:p w14:paraId="22246058" w14:textId="3BB1C23F" w:rsidR="00D06021" w:rsidRPr="00B75EA1" w:rsidRDefault="00D06021" w:rsidP="00177E70">
      <w:pPr>
        <w:pStyle w:val="Default"/>
        <w:numPr>
          <w:ilvl w:val="0"/>
          <w:numId w:val="8"/>
        </w:numPr>
        <w:jc w:val="both"/>
        <w:rPr>
          <w:rFonts w:ascii="Times New Roman" w:hAnsi="Times New Roman" w:cs="Times New Roman"/>
          <w:sz w:val="22"/>
          <w:szCs w:val="22"/>
        </w:rPr>
      </w:pPr>
      <w:r w:rsidRPr="00B75EA1">
        <w:rPr>
          <w:rFonts w:ascii="Times New Roman" w:hAnsi="Times New Roman" w:cs="Times New Roman"/>
          <w:sz w:val="22"/>
          <w:szCs w:val="22"/>
        </w:rPr>
        <w:t xml:space="preserve">Ποσά με τα οποία πιστώνεται ο Λογαριασμός Λ-Α για την ενέργεια που απορροφάται από Μονάδες ΑΠΕ και ΣΗΘΥΑ και Μονάδες Υβριδικού Σταθμού για την οποία προβλέπεται συγκεκριμένη ενιαία τιμή απορρόφησης €/MWh για όλες τις Περιόδους Κατανομής, και αντιστοιχούν στην τιμολόγηση της ενέργειας αυτής στο Μέσο Μεταβλητό Κόστος για κάθε περίοδο Κατανομής. </w:t>
      </w:r>
    </w:p>
    <w:p w14:paraId="2C805FBB" w14:textId="77777777" w:rsidR="005C7B8E" w:rsidRPr="00B75EA1" w:rsidRDefault="005C7B8E" w:rsidP="00584E88">
      <w:pPr>
        <w:pStyle w:val="Default"/>
        <w:jc w:val="both"/>
        <w:rPr>
          <w:rFonts w:ascii="Times New Roman" w:hAnsi="Times New Roman" w:cs="Times New Roman"/>
          <w:sz w:val="22"/>
          <w:szCs w:val="22"/>
        </w:rPr>
      </w:pPr>
    </w:p>
    <w:p w14:paraId="6890D08E" w14:textId="77777777" w:rsidR="00D06021" w:rsidRPr="00B75EA1" w:rsidRDefault="00D06021" w:rsidP="00584E88">
      <w:pPr>
        <w:pStyle w:val="Default"/>
        <w:jc w:val="both"/>
        <w:rPr>
          <w:rFonts w:ascii="Times New Roman" w:hAnsi="Times New Roman" w:cs="Times New Roman"/>
          <w:sz w:val="22"/>
          <w:szCs w:val="22"/>
        </w:rPr>
      </w:pPr>
      <w:r w:rsidRPr="00B75EA1">
        <w:rPr>
          <w:rFonts w:ascii="Times New Roman" w:hAnsi="Times New Roman" w:cs="Times New Roman"/>
          <w:sz w:val="22"/>
          <w:szCs w:val="22"/>
        </w:rPr>
        <w:t xml:space="preserve">2. Πιστώσεις του Υπολογαριασμού Λ-Ζ1 αποτελούν: </w:t>
      </w:r>
    </w:p>
    <w:p w14:paraId="3DF98E40" w14:textId="1613EF0F" w:rsidR="00D06021" w:rsidRPr="00B75EA1" w:rsidRDefault="00D06021" w:rsidP="00177E70">
      <w:pPr>
        <w:pStyle w:val="Default"/>
        <w:numPr>
          <w:ilvl w:val="0"/>
          <w:numId w:val="7"/>
        </w:numPr>
        <w:jc w:val="both"/>
        <w:rPr>
          <w:rFonts w:ascii="Times New Roman" w:hAnsi="Times New Roman" w:cs="Times New Roman"/>
          <w:sz w:val="22"/>
          <w:szCs w:val="22"/>
        </w:rPr>
      </w:pPr>
      <w:r w:rsidRPr="00B75EA1">
        <w:rPr>
          <w:rFonts w:ascii="Times New Roman" w:hAnsi="Times New Roman" w:cs="Times New Roman"/>
          <w:sz w:val="22"/>
          <w:szCs w:val="22"/>
        </w:rPr>
        <w:t xml:space="preserve">Οι χρεώσεις των παραγωγών ενέργειας από Μονάδες ΑΠΕ και ΣΗΘΥΑ και Μονάδες Υβριδικού Σταθμού για την ενέργεια που απορροφούν από το Δίκτυο ΜΔΝ για την οποία προβλέπεται συγκεκριμένη ενιαία τιμή απορρόφησης €/MWh για όλες τις Περιόδους Κατανομής, καθώς και οι τυχόν συμπληρωματικές χρεώσεις, όπως προκύπτουν κατά την Ετήσια Οριστική Εκκαθάριση. </w:t>
      </w:r>
    </w:p>
    <w:p w14:paraId="29D2F050" w14:textId="3A8EF38E" w:rsidR="00D06021" w:rsidRPr="00B75EA1" w:rsidRDefault="00D06021" w:rsidP="00177E70">
      <w:pPr>
        <w:pStyle w:val="Default"/>
        <w:numPr>
          <w:ilvl w:val="0"/>
          <w:numId w:val="7"/>
        </w:numPr>
        <w:jc w:val="both"/>
        <w:rPr>
          <w:rFonts w:ascii="Times New Roman" w:hAnsi="Times New Roman" w:cs="Times New Roman"/>
          <w:sz w:val="22"/>
          <w:szCs w:val="22"/>
        </w:rPr>
      </w:pPr>
      <w:r w:rsidRPr="00B75EA1">
        <w:rPr>
          <w:rFonts w:ascii="Times New Roman" w:hAnsi="Times New Roman" w:cs="Times New Roman"/>
          <w:sz w:val="22"/>
          <w:szCs w:val="22"/>
        </w:rPr>
        <w:t xml:space="preserve">Τα ποσά που καταβάλλουν οι Εκπρόσωποι Φορτίου για την ενέργεια από τις Μονάδες ΑΠΕ/ΣΗΘΥΑ και τις Μονάδες Υβριδικού Σταθμού, σύμφωνα με τις διατάξεις του άρθρου 143 του ν.4001/2011, τα οποία υπολογίζονται κατά μήνα βάσει του μηνιαίου Μέσου Μεταβλητού Κόστους παραγωγής του Συστήματος ΜΔΝ και της Ενέργειας Χρέωσης από Μονάδες ΑΠΕ/ΣΗΘΥΑ και Μονάδες Υβριδικού Σταθμού που τους αναλογεί, καθώς και οι τυχόν συμπληρωματικές χρεώσεις αυτών, που προκύπτουν κατά την Ετήσια Οριστική Εκκαθάριση. </w:t>
      </w:r>
    </w:p>
    <w:p w14:paraId="1C59F658" w14:textId="3D0991E1" w:rsidR="00D06021" w:rsidRPr="00B75EA1" w:rsidRDefault="00D06021" w:rsidP="00177E70">
      <w:pPr>
        <w:pStyle w:val="Default"/>
        <w:numPr>
          <w:ilvl w:val="0"/>
          <w:numId w:val="7"/>
        </w:numPr>
        <w:jc w:val="both"/>
        <w:rPr>
          <w:rFonts w:ascii="Times New Roman" w:hAnsi="Times New Roman" w:cs="Times New Roman"/>
          <w:sz w:val="22"/>
          <w:szCs w:val="22"/>
        </w:rPr>
      </w:pPr>
      <w:r w:rsidRPr="00B75EA1">
        <w:rPr>
          <w:rFonts w:ascii="Times New Roman" w:hAnsi="Times New Roman" w:cs="Times New Roman"/>
          <w:sz w:val="22"/>
          <w:szCs w:val="22"/>
        </w:rPr>
        <w:t xml:space="preserve">Τα ποσά που καταβάλλουν οι Εκπρόσωποι Φορτίου για το κόστος που αντιστοιχεί στο τμήμα της διαθέσιμης ισχύος από Μονάδες ΑΠΕ και ΣΗΘΥΑ το οποίο θεωρείται ότι καλύπτει ανάγκες του Μηχανισμού Διασφάλισης Επαρκούς Ισχύος για την ασφαλή και απρόσκοπτη λειτουργία του Συστήματος ΜΔΝ, σύμφωνα με τα οριζόμενα στο άρθρο 148, καθώς και οι τυχόν συμπληρωματικές χρεώσεις αυτών, όπως προκύπτουν κατά την Ετήσια Οριστική Εκκαθάριση. </w:t>
      </w:r>
    </w:p>
    <w:p w14:paraId="7BFD8D86" w14:textId="215097B9" w:rsidR="009C7A19" w:rsidRPr="00B75EA1" w:rsidRDefault="009C7A19" w:rsidP="00177E70">
      <w:pPr>
        <w:pStyle w:val="ListParagraph"/>
        <w:numPr>
          <w:ilvl w:val="0"/>
          <w:numId w:val="7"/>
        </w:numPr>
        <w:autoSpaceDE w:val="0"/>
        <w:autoSpaceDN w:val="0"/>
        <w:adjustRightInd w:val="0"/>
        <w:spacing w:after="0" w:line="240" w:lineRule="auto"/>
        <w:jc w:val="both"/>
        <w:rPr>
          <w:rFonts w:ascii="Times New Roman" w:hAnsi="Times New Roman" w:cs="Times New Roman"/>
          <w:color w:val="000000"/>
        </w:rPr>
      </w:pPr>
      <w:r w:rsidRPr="00B75EA1">
        <w:rPr>
          <w:rFonts w:ascii="Times New Roman" w:hAnsi="Times New Roman" w:cs="Times New Roman"/>
          <w:color w:val="000000"/>
        </w:rPr>
        <w:t>Τυχόν επιστροφές από πληρωμές των παραγωγών από Μονάδες ΑΠΕ και ΣΗΘΥΑ και τις Μονάδες Υβριδικού Σταθμού που προκύπτουν κατά την Ετήσια Οριστική Εκκαθάριση και αφορούν στα στοιχεία (α) και (β) της παραγράφου 1.</w:t>
      </w:r>
    </w:p>
    <w:p w14:paraId="492B3EF9" w14:textId="1A4B34DE" w:rsidR="009C7A19" w:rsidRPr="00B75EA1" w:rsidRDefault="009C7A19" w:rsidP="00177E70">
      <w:pPr>
        <w:pStyle w:val="ListParagraph"/>
        <w:numPr>
          <w:ilvl w:val="0"/>
          <w:numId w:val="7"/>
        </w:numPr>
        <w:autoSpaceDE w:val="0"/>
        <w:autoSpaceDN w:val="0"/>
        <w:adjustRightInd w:val="0"/>
        <w:spacing w:after="0" w:line="240" w:lineRule="auto"/>
        <w:jc w:val="both"/>
        <w:rPr>
          <w:rFonts w:ascii="Times New Roman" w:hAnsi="Times New Roman" w:cs="Times New Roman"/>
          <w:color w:val="000000"/>
        </w:rPr>
      </w:pPr>
      <w:r w:rsidRPr="00B75EA1">
        <w:rPr>
          <w:rFonts w:ascii="Times New Roman" w:hAnsi="Times New Roman" w:cs="Times New Roman"/>
          <w:color w:val="000000"/>
        </w:rPr>
        <w:t xml:space="preserve">Τυχόν πλεονάσματα που αφορούν σε επιστροφή ποσού από ερευνητικά επιδεικτικά έργα σύμφωνα με την κείμενη νομοθεσία. </w:t>
      </w:r>
    </w:p>
    <w:p w14:paraId="00C3F851" w14:textId="77777777" w:rsidR="00677DEC" w:rsidRPr="00B75EA1" w:rsidRDefault="00677DEC" w:rsidP="00584E88">
      <w:pPr>
        <w:autoSpaceDE w:val="0"/>
        <w:autoSpaceDN w:val="0"/>
        <w:adjustRightInd w:val="0"/>
        <w:spacing w:after="0" w:line="240" w:lineRule="auto"/>
        <w:jc w:val="both"/>
        <w:rPr>
          <w:rFonts w:ascii="Times New Roman" w:hAnsi="Times New Roman" w:cs="Times New Roman"/>
          <w:color w:val="000000"/>
        </w:rPr>
      </w:pPr>
    </w:p>
    <w:p w14:paraId="1B1BA283" w14:textId="77777777" w:rsidR="009C7A19" w:rsidRPr="00B75EA1" w:rsidRDefault="009C7A19" w:rsidP="00584E88">
      <w:pPr>
        <w:autoSpaceDE w:val="0"/>
        <w:autoSpaceDN w:val="0"/>
        <w:adjustRightInd w:val="0"/>
        <w:spacing w:after="0" w:line="240" w:lineRule="auto"/>
        <w:jc w:val="both"/>
        <w:rPr>
          <w:rFonts w:ascii="Times New Roman" w:hAnsi="Times New Roman" w:cs="Times New Roman"/>
          <w:color w:val="000000"/>
        </w:rPr>
      </w:pPr>
      <w:r w:rsidRPr="00B75EA1">
        <w:rPr>
          <w:rFonts w:ascii="Times New Roman" w:hAnsi="Times New Roman" w:cs="Times New Roman"/>
          <w:color w:val="000000"/>
        </w:rPr>
        <w:t xml:space="preserve">3. Χρεώσεις του Υπολογαριασμού Λ-Ζ2 αποτελούν: </w:t>
      </w:r>
    </w:p>
    <w:p w14:paraId="51D1F8AA" w14:textId="38BB1B62" w:rsidR="009C7A19" w:rsidRPr="00B75EA1" w:rsidRDefault="009C7A19" w:rsidP="00177E70">
      <w:pPr>
        <w:pStyle w:val="ListParagraph"/>
        <w:numPr>
          <w:ilvl w:val="0"/>
          <w:numId w:val="6"/>
        </w:numPr>
        <w:autoSpaceDE w:val="0"/>
        <w:autoSpaceDN w:val="0"/>
        <w:adjustRightInd w:val="0"/>
        <w:spacing w:after="0" w:line="240" w:lineRule="auto"/>
        <w:jc w:val="both"/>
        <w:rPr>
          <w:rFonts w:ascii="Times New Roman" w:hAnsi="Times New Roman" w:cs="Times New Roman"/>
          <w:color w:val="000000"/>
        </w:rPr>
      </w:pPr>
      <w:r w:rsidRPr="00B75EA1">
        <w:rPr>
          <w:rFonts w:ascii="Times New Roman" w:hAnsi="Times New Roman" w:cs="Times New Roman"/>
          <w:color w:val="000000"/>
        </w:rPr>
        <w:t xml:space="preserve">Τα ποσά που καταβάλλονται από τον Διαχειριστή ΜΔΝ προς τον </w:t>
      </w:r>
      <w:r w:rsidR="00931C69" w:rsidRPr="00B75EA1">
        <w:rPr>
          <w:rFonts w:ascii="Times New Roman" w:hAnsi="Times New Roman" w:cs="Times New Roman"/>
          <w:color w:val="000000"/>
        </w:rPr>
        <w:t>«Διαχειριστή ΑΠΕ και Εγγυήσεων Προέλευσης»</w:t>
      </w:r>
      <w:r w:rsidRPr="00B75EA1">
        <w:rPr>
          <w:rFonts w:ascii="Times New Roman" w:hAnsi="Times New Roman" w:cs="Times New Roman"/>
          <w:color w:val="000000"/>
        </w:rPr>
        <w:t xml:space="preserve"> σε περίπτωση πλεονάσματος του Λογαριασμού Λ-Ζ για τον ισοσκελισμό του. </w:t>
      </w:r>
    </w:p>
    <w:p w14:paraId="7F3D67C6" w14:textId="1616CDA6" w:rsidR="009C7A19" w:rsidRPr="00B75EA1" w:rsidRDefault="009C7A19" w:rsidP="00177E70">
      <w:pPr>
        <w:pStyle w:val="ListParagraph"/>
        <w:numPr>
          <w:ilvl w:val="0"/>
          <w:numId w:val="6"/>
        </w:numPr>
        <w:autoSpaceDE w:val="0"/>
        <w:autoSpaceDN w:val="0"/>
        <w:adjustRightInd w:val="0"/>
        <w:spacing w:after="0" w:line="240" w:lineRule="auto"/>
        <w:jc w:val="both"/>
        <w:rPr>
          <w:rFonts w:ascii="Times New Roman" w:hAnsi="Times New Roman" w:cs="Times New Roman"/>
          <w:color w:val="000000"/>
        </w:rPr>
      </w:pPr>
      <w:r w:rsidRPr="00B75EA1">
        <w:rPr>
          <w:rFonts w:ascii="Times New Roman" w:hAnsi="Times New Roman" w:cs="Times New Roman"/>
          <w:color w:val="000000"/>
        </w:rPr>
        <w:t xml:space="preserve">Τυχόν επιστροφές από χρεώσεις των Εκπροσώπων Φορτίου που προκύπτουν κατά την Ετήσια Οριστική Εκκαθάριση και αφορούν στο στοιχείο (α) της παραγράφου 4. </w:t>
      </w:r>
    </w:p>
    <w:p w14:paraId="71C304D9" w14:textId="733DDF9C" w:rsidR="009C7A19" w:rsidRPr="00B75EA1" w:rsidRDefault="009C7A19" w:rsidP="00177E70">
      <w:pPr>
        <w:pStyle w:val="ListParagraph"/>
        <w:numPr>
          <w:ilvl w:val="0"/>
          <w:numId w:val="6"/>
        </w:numPr>
        <w:autoSpaceDE w:val="0"/>
        <w:autoSpaceDN w:val="0"/>
        <w:adjustRightInd w:val="0"/>
        <w:spacing w:after="0" w:line="240" w:lineRule="auto"/>
        <w:jc w:val="both"/>
        <w:rPr>
          <w:rFonts w:ascii="Times New Roman" w:hAnsi="Times New Roman" w:cs="Times New Roman"/>
          <w:color w:val="000000"/>
        </w:rPr>
      </w:pPr>
      <w:r w:rsidRPr="00B75EA1">
        <w:rPr>
          <w:rFonts w:ascii="Times New Roman" w:hAnsi="Times New Roman" w:cs="Times New Roman"/>
          <w:color w:val="000000"/>
        </w:rPr>
        <w:t xml:space="preserve">Ποσά που προβλέπονται από την κείμενη νομοθεσία. </w:t>
      </w:r>
    </w:p>
    <w:p w14:paraId="23FB085C" w14:textId="77777777" w:rsidR="009C7A19" w:rsidRPr="00B75EA1" w:rsidRDefault="009C7A19" w:rsidP="00584E88">
      <w:pPr>
        <w:autoSpaceDE w:val="0"/>
        <w:autoSpaceDN w:val="0"/>
        <w:adjustRightInd w:val="0"/>
        <w:spacing w:after="0" w:line="240" w:lineRule="auto"/>
        <w:jc w:val="both"/>
        <w:rPr>
          <w:rFonts w:ascii="Times New Roman" w:hAnsi="Times New Roman" w:cs="Times New Roman"/>
          <w:color w:val="000000"/>
        </w:rPr>
      </w:pPr>
    </w:p>
    <w:p w14:paraId="619DE4A7" w14:textId="77777777" w:rsidR="009C7A19" w:rsidRPr="00B75EA1" w:rsidRDefault="009C7A19" w:rsidP="00630311">
      <w:pPr>
        <w:keepNext/>
        <w:autoSpaceDE w:val="0"/>
        <w:autoSpaceDN w:val="0"/>
        <w:adjustRightInd w:val="0"/>
        <w:spacing w:after="0" w:line="240" w:lineRule="auto"/>
        <w:jc w:val="both"/>
        <w:rPr>
          <w:rFonts w:ascii="Times New Roman" w:hAnsi="Times New Roman" w:cs="Times New Roman"/>
          <w:color w:val="000000"/>
        </w:rPr>
      </w:pPr>
      <w:r w:rsidRPr="00B75EA1">
        <w:rPr>
          <w:rFonts w:ascii="Times New Roman" w:hAnsi="Times New Roman" w:cs="Times New Roman"/>
          <w:color w:val="000000"/>
        </w:rPr>
        <w:t xml:space="preserve">4. Πιστώσεις του Υπολογαριασμού Λ-Ζ2 αποτελούν: </w:t>
      </w:r>
    </w:p>
    <w:p w14:paraId="6BA2178C" w14:textId="139D6757" w:rsidR="009C7A19" w:rsidRPr="00B75EA1" w:rsidRDefault="009C7A19" w:rsidP="00177E70">
      <w:pPr>
        <w:pStyle w:val="ListParagraph"/>
        <w:numPr>
          <w:ilvl w:val="0"/>
          <w:numId w:val="5"/>
        </w:numPr>
        <w:autoSpaceDE w:val="0"/>
        <w:autoSpaceDN w:val="0"/>
        <w:adjustRightInd w:val="0"/>
        <w:spacing w:after="0" w:line="240" w:lineRule="auto"/>
        <w:jc w:val="both"/>
        <w:rPr>
          <w:rFonts w:ascii="Times New Roman" w:hAnsi="Times New Roman" w:cs="Times New Roman"/>
          <w:color w:val="000000"/>
        </w:rPr>
      </w:pPr>
      <w:r w:rsidRPr="00B75EA1">
        <w:rPr>
          <w:rFonts w:ascii="Times New Roman" w:hAnsi="Times New Roman" w:cs="Times New Roman"/>
          <w:color w:val="000000"/>
        </w:rPr>
        <w:t xml:space="preserve">Τα ποσά που προκύπτουν από την επιβολή ΕΤΜΕΑΡ επί της κατανάλωσης των Συστημάτων των Μη-Διασυνδεδεμένων Νησιών όπως το τέλος αυτό ορίζεται στο άρθρο 143 του ν.4001/2011, καθώς και τυχόν συμπληρωματικές χρεώσεις, όπως προκύπτουν κατά την Ετήσια Οριστική Εκκαθάριση. </w:t>
      </w:r>
    </w:p>
    <w:p w14:paraId="446E5384" w14:textId="3B58408D" w:rsidR="009C7A19" w:rsidRPr="00B75EA1" w:rsidRDefault="009C7A19" w:rsidP="00177E70">
      <w:pPr>
        <w:pStyle w:val="ListParagraph"/>
        <w:numPr>
          <w:ilvl w:val="0"/>
          <w:numId w:val="5"/>
        </w:numPr>
        <w:autoSpaceDE w:val="0"/>
        <w:autoSpaceDN w:val="0"/>
        <w:adjustRightInd w:val="0"/>
        <w:spacing w:after="0" w:line="240" w:lineRule="auto"/>
        <w:jc w:val="both"/>
        <w:rPr>
          <w:rFonts w:ascii="Times New Roman" w:hAnsi="Times New Roman" w:cs="Times New Roman"/>
          <w:color w:val="000000"/>
        </w:rPr>
      </w:pPr>
      <w:r w:rsidRPr="00B75EA1">
        <w:rPr>
          <w:rFonts w:ascii="Times New Roman" w:hAnsi="Times New Roman" w:cs="Times New Roman"/>
          <w:color w:val="000000"/>
        </w:rPr>
        <w:t xml:space="preserve">Τα ποσά που καταβάλλονται από τον </w:t>
      </w:r>
      <w:r w:rsidR="00931C69" w:rsidRPr="00B75EA1">
        <w:rPr>
          <w:rFonts w:ascii="Times New Roman" w:hAnsi="Times New Roman" w:cs="Times New Roman"/>
          <w:color w:val="000000"/>
        </w:rPr>
        <w:t xml:space="preserve">«Διαχειριστή ΑΠΕ και Εγγυήσεων Προέλευσης» </w:t>
      </w:r>
      <w:r w:rsidRPr="00B75EA1">
        <w:rPr>
          <w:rFonts w:ascii="Times New Roman" w:hAnsi="Times New Roman" w:cs="Times New Roman"/>
          <w:color w:val="000000"/>
        </w:rPr>
        <w:t xml:space="preserve">σε περίπτωση ελλείμματος του Λογαριασμού Λ-Ζ για τον ισοσκελισμό του. </w:t>
      </w:r>
    </w:p>
    <w:p w14:paraId="5786C57F" w14:textId="5D634251" w:rsidR="009C7A19" w:rsidRPr="00B75EA1" w:rsidRDefault="009C7A19" w:rsidP="00177E70">
      <w:pPr>
        <w:pStyle w:val="ListParagraph"/>
        <w:numPr>
          <w:ilvl w:val="0"/>
          <w:numId w:val="5"/>
        </w:numPr>
        <w:autoSpaceDE w:val="0"/>
        <w:autoSpaceDN w:val="0"/>
        <w:adjustRightInd w:val="0"/>
        <w:spacing w:after="0" w:line="240" w:lineRule="auto"/>
        <w:jc w:val="both"/>
        <w:rPr>
          <w:rFonts w:ascii="Times New Roman" w:hAnsi="Times New Roman" w:cs="Times New Roman"/>
          <w:color w:val="000000"/>
        </w:rPr>
      </w:pPr>
      <w:r w:rsidRPr="00B75EA1">
        <w:rPr>
          <w:rFonts w:ascii="Times New Roman" w:hAnsi="Times New Roman" w:cs="Times New Roman"/>
          <w:color w:val="000000"/>
        </w:rPr>
        <w:t xml:space="preserve">Ποσά που προβλέπονται από την κείμενη νομοθεσία. </w:t>
      </w:r>
    </w:p>
    <w:p w14:paraId="5373D090" w14:textId="77777777" w:rsidR="005C7B8E" w:rsidRPr="00B75EA1" w:rsidRDefault="005C7B8E" w:rsidP="00584E88">
      <w:pPr>
        <w:autoSpaceDE w:val="0"/>
        <w:autoSpaceDN w:val="0"/>
        <w:adjustRightInd w:val="0"/>
        <w:spacing w:after="177" w:line="240" w:lineRule="auto"/>
        <w:jc w:val="both"/>
        <w:rPr>
          <w:rFonts w:ascii="Times New Roman" w:hAnsi="Times New Roman" w:cs="Times New Roman"/>
          <w:color w:val="000000"/>
        </w:rPr>
      </w:pPr>
    </w:p>
    <w:p w14:paraId="68536B1B" w14:textId="0904369B" w:rsidR="009C7A19" w:rsidRPr="00B75EA1" w:rsidRDefault="009C7A19" w:rsidP="00584E88">
      <w:pPr>
        <w:autoSpaceDE w:val="0"/>
        <w:autoSpaceDN w:val="0"/>
        <w:adjustRightInd w:val="0"/>
        <w:spacing w:after="177" w:line="240" w:lineRule="auto"/>
        <w:jc w:val="both"/>
        <w:rPr>
          <w:rFonts w:ascii="Times New Roman" w:hAnsi="Times New Roman" w:cs="Times New Roman"/>
          <w:color w:val="000000"/>
        </w:rPr>
      </w:pPr>
      <w:r w:rsidRPr="00B75EA1">
        <w:rPr>
          <w:rFonts w:ascii="Times New Roman" w:hAnsi="Times New Roman" w:cs="Times New Roman"/>
          <w:color w:val="000000"/>
        </w:rPr>
        <w:t xml:space="preserve">5. Ο Λογαριασμός Λ-Ζ εμφανίζεται ισοσκελισμένος τόσο μετά το πέρας της Μηνιαίας Εκκαθάρισης, όσο και της Ετήσιας Οριστικής Εκκαθάρισης με τις απαραίτητες μεταφορές κεφαλαίων από και προς τον Ειδικό Λογαριασμό του άρθρου 143 του ν.4001/2011, που τηρεί ο </w:t>
      </w:r>
      <w:r w:rsidR="00931C69" w:rsidRPr="00B75EA1">
        <w:rPr>
          <w:rFonts w:ascii="Times New Roman" w:hAnsi="Times New Roman" w:cs="Times New Roman"/>
          <w:color w:val="000000"/>
        </w:rPr>
        <w:t>«Διαχειριστής ΑΠΕ και Εγγυήσεων Προέλευσης»</w:t>
      </w:r>
      <w:r w:rsidRPr="00B75EA1">
        <w:rPr>
          <w:rFonts w:ascii="Times New Roman" w:hAnsi="Times New Roman" w:cs="Times New Roman"/>
          <w:color w:val="000000"/>
        </w:rPr>
        <w:t xml:space="preserve">. Στην περίπτωση που ο Λογαριασμός Λ-Ζ του Διαχειριστή ΜΔΝ εμφανίζει χρεωστικό υπόλοιπο πιστώνεται στον Υπολογαριασμό Λ-Ζ2 με κεφάλαια από τον ως άνω Ειδικό Λογαριασμό που τηρεί ο </w:t>
      </w:r>
      <w:r w:rsidR="00931C69" w:rsidRPr="00B75EA1">
        <w:rPr>
          <w:rFonts w:ascii="Times New Roman" w:hAnsi="Times New Roman" w:cs="Times New Roman"/>
          <w:color w:val="000000"/>
        </w:rPr>
        <w:t xml:space="preserve">«Διαχειριστής ΑΠΕ και Εγγυήσεων Προέλευσης» </w:t>
      </w:r>
      <w:r w:rsidRPr="00B75EA1">
        <w:rPr>
          <w:rFonts w:ascii="Times New Roman" w:hAnsi="Times New Roman" w:cs="Times New Roman"/>
          <w:color w:val="000000"/>
        </w:rPr>
        <w:t>ώστε να ισοσκελιστεί, ενώ στην αντίθετη περίπτωση ο Υπολογαριασμός Λ-Ζ2 χρεώνεται, μεταφέροντας τα πλεονάζοντα κεφάλαια προς τον ως άνω Ειδικό Λογαριασμό που τηρεί</w:t>
      </w:r>
      <w:r w:rsidR="00931C69" w:rsidRPr="00B75EA1">
        <w:rPr>
          <w:rFonts w:ascii="Times New Roman" w:hAnsi="Times New Roman" w:cs="Times New Roman"/>
          <w:color w:val="000000"/>
        </w:rPr>
        <w:t xml:space="preserve"> ο</w:t>
      </w:r>
      <w:r w:rsidRPr="00B75EA1">
        <w:rPr>
          <w:rFonts w:ascii="Times New Roman" w:hAnsi="Times New Roman" w:cs="Times New Roman"/>
          <w:color w:val="000000"/>
        </w:rPr>
        <w:t xml:space="preserve"> </w:t>
      </w:r>
      <w:r w:rsidR="00931C69" w:rsidRPr="00B75EA1">
        <w:rPr>
          <w:rFonts w:ascii="Times New Roman" w:hAnsi="Times New Roman" w:cs="Times New Roman"/>
          <w:color w:val="000000"/>
        </w:rPr>
        <w:t>«Διαχειριστής ΑΠΕ και Εγγυήσεων Προέλευσης»</w:t>
      </w:r>
      <w:r w:rsidRPr="00B75EA1">
        <w:rPr>
          <w:rFonts w:ascii="Times New Roman" w:hAnsi="Times New Roman" w:cs="Times New Roman"/>
          <w:color w:val="000000"/>
        </w:rPr>
        <w:t xml:space="preserve">. Ο Διαχειριστής ΜΔΝ γνωστοποιεί στον </w:t>
      </w:r>
      <w:r w:rsidR="00931C69" w:rsidRPr="00B75EA1">
        <w:rPr>
          <w:rFonts w:ascii="Times New Roman" w:hAnsi="Times New Roman" w:cs="Times New Roman"/>
          <w:color w:val="000000"/>
        </w:rPr>
        <w:t xml:space="preserve">«Διαχειριστή ΑΠΕ και Εγγυήσεων Προέλευσης» </w:t>
      </w:r>
      <w:r w:rsidRPr="00B75EA1">
        <w:rPr>
          <w:rFonts w:ascii="Times New Roman" w:hAnsi="Times New Roman" w:cs="Times New Roman"/>
          <w:color w:val="000000"/>
        </w:rPr>
        <w:t xml:space="preserve">αναλυτικά στοιχεία σχετικά με τον ισοσκελισμό του Λογαριασμού Λ-Ζ μετά το πέρας των σχετικών διαδικασιών (Μηνιαίας και Ετήσιας Οριστικής Εκκαθάρισης). </w:t>
      </w:r>
    </w:p>
    <w:p w14:paraId="6340E012" w14:textId="77777777" w:rsidR="009C7A19" w:rsidRPr="00B75EA1" w:rsidRDefault="009C7A19" w:rsidP="00584E88">
      <w:pPr>
        <w:autoSpaceDE w:val="0"/>
        <w:autoSpaceDN w:val="0"/>
        <w:adjustRightInd w:val="0"/>
        <w:spacing w:after="0" w:line="240" w:lineRule="auto"/>
        <w:jc w:val="both"/>
        <w:rPr>
          <w:rFonts w:ascii="Times New Roman" w:hAnsi="Times New Roman" w:cs="Times New Roman"/>
          <w:color w:val="000000"/>
        </w:rPr>
      </w:pPr>
      <w:r w:rsidRPr="00B75EA1">
        <w:rPr>
          <w:rFonts w:ascii="Times New Roman" w:hAnsi="Times New Roman" w:cs="Times New Roman"/>
          <w:color w:val="000000"/>
        </w:rPr>
        <w:t xml:space="preserve">6. Για τις ανωτέρω χρεοπιστώσεις ακολουθείται η διαδικασία της Μηνιαίας Εκκαθάρισης και της Ετήσιας Οριστικής Εκκαθάρισης και τα ποσά αυτά συμπεριλαμβάνονται στις αντίστοιχες Καταστάσεις Εκκαθαρίσεων.» </w:t>
      </w:r>
    </w:p>
    <w:p w14:paraId="2C727128" w14:textId="77777777" w:rsidR="00BA7B1B" w:rsidRPr="00B75EA1" w:rsidRDefault="00BA7B1B" w:rsidP="00BD3011">
      <w:pPr>
        <w:pStyle w:val="Default"/>
        <w:jc w:val="both"/>
        <w:rPr>
          <w:rFonts w:ascii="Times New Roman" w:hAnsi="Times New Roman" w:cs="Times New Roman"/>
          <w:sz w:val="22"/>
          <w:szCs w:val="22"/>
        </w:rPr>
      </w:pPr>
    </w:p>
    <w:p w14:paraId="1B636CB4" w14:textId="708537B2" w:rsidR="00BD3011" w:rsidRPr="00B75EA1" w:rsidRDefault="00BD3011" w:rsidP="00BD3011">
      <w:pPr>
        <w:pStyle w:val="Default"/>
        <w:jc w:val="both"/>
        <w:rPr>
          <w:rFonts w:ascii="Times New Roman" w:hAnsi="Times New Roman" w:cs="Times New Roman"/>
          <w:sz w:val="22"/>
          <w:szCs w:val="22"/>
        </w:rPr>
      </w:pPr>
    </w:p>
    <w:p w14:paraId="1347EFF5" w14:textId="6DC68323" w:rsidR="00BA7B1B" w:rsidRPr="00B75EA1" w:rsidRDefault="003D151F" w:rsidP="003D151F">
      <w:pPr>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cs="Times New Roman"/>
          <w:b/>
        </w:rPr>
      </w:pPr>
      <w:r w:rsidRPr="00B75EA1">
        <w:rPr>
          <w:rFonts w:ascii="Times New Roman" w:hAnsi="Times New Roman" w:cs="Times New Roman"/>
          <w:b/>
        </w:rPr>
        <w:t>7.</w:t>
      </w:r>
      <w:r w:rsidR="007B6F37" w:rsidRPr="00B75EA1">
        <w:rPr>
          <w:rFonts w:ascii="Times New Roman" w:hAnsi="Times New Roman" w:cs="Times New Roman"/>
          <w:b/>
        </w:rPr>
        <w:t xml:space="preserve"> </w:t>
      </w:r>
      <w:r w:rsidR="00BA7B1B" w:rsidRPr="00B75EA1">
        <w:rPr>
          <w:rFonts w:ascii="Times New Roman" w:hAnsi="Times New Roman" w:cs="Times New Roman"/>
          <w:b/>
        </w:rPr>
        <w:t>Οι παράγραφοι 6 και 7 του άρθρου 183 του Κώδικα ΜΔΝ τροποποιούνται ως ακολούθως:</w:t>
      </w:r>
    </w:p>
    <w:p w14:paraId="49CD3769" w14:textId="043CB8B3" w:rsidR="00BA7B1B" w:rsidRPr="00B75EA1" w:rsidRDefault="00BA7B1B" w:rsidP="00BA7B1B">
      <w:pPr>
        <w:spacing w:before="100" w:beforeAutospacing="1" w:after="100" w:afterAutospacing="1"/>
        <w:jc w:val="both"/>
        <w:rPr>
          <w:rFonts w:ascii="Times New Roman" w:hAnsi="Times New Roman" w:cs="Times New Roman"/>
        </w:rPr>
      </w:pPr>
      <w:r w:rsidRPr="00B75EA1">
        <w:rPr>
          <w:rFonts w:ascii="Times New Roman" w:hAnsi="Times New Roman" w:cs="Times New Roman"/>
        </w:rPr>
        <w:t xml:space="preserve">«6. Για τους Εκπροσώπους Φορτίου, ο Διαχειριστής ΜΔΝ αποστέλλει μαζί με την Κατάσταση Μηνιαίας Εκκαθάρισης ή εντός δύο (2) ημερών από την αποστολή της, τα σχετικά τιμολόγια για λογιστικοποίηση και εξόφλησή τους. </w:t>
      </w:r>
    </w:p>
    <w:p w14:paraId="41B68CE4" w14:textId="02971EFD" w:rsidR="00BA7B1B" w:rsidRPr="00B75EA1" w:rsidRDefault="00BA7B1B" w:rsidP="00F932FC">
      <w:pPr>
        <w:spacing w:before="100" w:beforeAutospacing="1" w:after="100" w:afterAutospacing="1"/>
        <w:jc w:val="both"/>
        <w:rPr>
          <w:rFonts w:ascii="Times New Roman" w:hAnsi="Times New Roman" w:cs="Times New Roman"/>
        </w:rPr>
      </w:pPr>
      <w:r w:rsidRPr="00B75EA1">
        <w:rPr>
          <w:rFonts w:ascii="Times New Roman" w:hAnsi="Times New Roman" w:cs="Times New Roman"/>
        </w:rPr>
        <w:t>7. Σε κάθε περίπτωση, ο Εκπρόσωπος Φορτίου οφείλει να εξοφλεί τις χρεώσεις που αναφέρονται στην Κατάσταση Μηνιαίας Εκκαθάρισης εντός πέντε (5) ημερών και να λαμβάνει τις πιστώσεις από τον Διαχειριστή ΜΔΝ εντός επτά (7) ημερών από την ημερομηνία παραλαβής των παραστατικών, με εξαίρεση τις προθεσμίες των συναλλαγών για τις Υπηρεσίες Κοινής Ωφέλειας (ΥΚΩ) οι οποίες ορίζονται στην παρ. 10. Η παραπάνω υποχρέωση είναι ανεξάρτητη από τυχόν ενστάσεις του Εκπροσώπου Φορτίου.»</w:t>
      </w:r>
    </w:p>
    <w:p w14:paraId="082B00F5" w14:textId="77777777" w:rsidR="003D151F" w:rsidRPr="00B75EA1" w:rsidRDefault="003D151F" w:rsidP="003D151F">
      <w:pPr>
        <w:pStyle w:val="Default"/>
        <w:jc w:val="both"/>
        <w:rPr>
          <w:rFonts w:ascii="Times New Roman" w:hAnsi="Times New Roman" w:cs="Times New Roman"/>
          <w:sz w:val="22"/>
          <w:szCs w:val="22"/>
        </w:rPr>
      </w:pPr>
    </w:p>
    <w:p w14:paraId="74D06276" w14:textId="75B7727A" w:rsidR="003D151F" w:rsidRPr="00B75EA1" w:rsidRDefault="003D151F" w:rsidP="003D151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bCs/>
          <w:color w:val="000000"/>
        </w:rPr>
      </w:pPr>
      <w:r w:rsidRPr="00B75EA1">
        <w:rPr>
          <w:rFonts w:ascii="Times New Roman" w:hAnsi="Times New Roman" w:cs="Times New Roman"/>
          <w:b/>
          <w:bCs/>
          <w:color w:val="000000"/>
        </w:rPr>
        <w:t xml:space="preserve">8. Προτείνεται η αντικατάσταση των παρ. 3, 4, 5 </w:t>
      </w:r>
      <w:r w:rsidR="00630311">
        <w:rPr>
          <w:rFonts w:ascii="Times New Roman" w:hAnsi="Times New Roman" w:cs="Times New Roman"/>
          <w:b/>
          <w:bCs/>
          <w:color w:val="000000"/>
        </w:rPr>
        <w:t xml:space="preserve">και 8 </w:t>
      </w:r>
      <w:r w:rsidRPr="00B75EA1">
        <w:rPr>
          <w:rFonts w:ascii="Times New Roman" w:hAnsi="Times New Roman" w:cs="Times New Roman"/>
          <w:b/>
          <w:bCs/>
          <w:color w:val="000000"/>
        </w:rPr>
        <w:t>του άρθρου 184 του Κώδικα ΜΔΝ ως ακολούθως :</w:t>
      </w:r>
    </w:p>
    <w:p w14:paraId="795E3031" w14:textId="77777777" w:rsidR="003D151F" w:rsidRPr="00B75EA1" w:rsidRDefault="003D151F" w:rsidP="003D151F">
      <w:pPr>
        <w:autoSpaceDE w:val="0"/>
        <w:autoSpaceDN w:val="0"/>
        <w:adjustRightInd w:val="0"/>
        <w:spacing w:after="0" w:line="240" w:lineRule="auto"/>
        <w:jc w:val="both"/>
        <w:rPr>
          <w:rFonts w:ascii="Times New Roman" w:hAnsi="Times New Roman" w:cs="Times New Roman"/>
          <w:color w:val="000000"/>
        </w:rPr>
      </w:pPr>
    </w:p>
    <w:p w14:paraId="2D6BB439" w14:textId="384A18C8" w:rsidR="003D151F" w:rsidRPr="00B75EA1" w:rsidRDefault="00630311" w:rsidP="003D151F">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w:t>
      </w:r>
      <w:r w:rsidR="003D151F" w:rsidRPr="00B75EA1">
        <w:rPr>
          <w:rFonts w:ascii="Times New Roman" w:hAnsi="Times New Roman" w:cs="Times New Roman"/>
          <w:color w:val="000000"/>
        </w:rPr>
        <w:t>3. Η ετήσια οριστική εκκαθάριση της αγοράς ΜΔΝ λαμβάνει χώρα ανά Σύστημα ΜΔΝ και περιλαμβάνει τις επιμέρους οριστικές  εκκαθαρίσεις  Αγοραπωλησίας Ενέργειας, Επικουρικών Υπηρεσιών, Μηχανισμού Διασφάλισης Επαρκούς Ισχύος, Ειδικών Λογαριασμών ΑΠΕ  ΜΔΝ και ΥΚΩ ΜΔΝ, Κάλυψης Κόστους Έκτακτης Ανάγκης, Κάλυψης Λειτουργικών Δαπανών του Διαχειριστή ΜΔΝ και Διαχείρισης Παγίων, Εισπράξεων υπέρ τρίτων/ΧΧΔ, καθώς και κυρώσεων. Ο Διαχειριστής δύναται να διενεργεί την Ετήσια Οριστική Εκκαθάριση διακριτά για ορισμένες από τις επιμέρους οριστικές εκκαθαρίσεις.</w:t>
      </w:r>
    </w:p>
    <w:p w14:paraId="17EDC241" w14:textId="77777777" w:rsidR="003D151F" w:rsidRPr="00B75EA1" w:rsidRDefault="003D151F" w:rsidP="003D151F">
      <w:pPr>
        <w:autoSpaceDE w:val="0"/>
        <w:autoSpaceDN w:val="0"/>
        <w:adjustRightInd w:val="0"/>
        <w:spacing w:after="0" w:line="240" w:lineRule="auto"/>
        <w:jc w:val="both"/>
        <w:rPr>
          <w:rFonts w:ascii="Times New Roman" w:hAnsi="Times New Roman" w:cs="Times New Roman"/>
          <w:color w:val="000000"/>
        </w:rPr>
      </w:pPr>
      <w:r w:rsidRPr="00B75EA1">
        <w:rPr>
          <w:rFonts w:ascii="Times New Roman" w:hAnsi="Times New Roman" w:cs="Times New Roman"/>
          <w:color w:val="000000"/>
        </w:rPr>
        <w:t xml:space="preserve"> </w:t>
      </w:r>
    </w:p>
    <w:p w14:paraId="1741FF66" w14:textId="4CB8C170" w:rsidR="003D151F" w:rsidRPr="00B75EA1" w:rsidRDefault="003D151F" w:rsidP="003D151F">
      <w:pPr>
        <w:autoSpaceDE w:val="0"/>
        <w:autoSpaceDN w:val="0"/>
        <w:adjustRightInd w:val="0"/>
        <w:spacing w:after="0" w:line="240" w:lineRule="auto"/>
        <w:jc w:val="both"/>
        <w:rPr>
          <w:rFonts w:ascii="Times New Roman" w:hAnsi="Times New Roman" w:cs="Times New Roman"/>
          <w:color w:val="000000"/>
        </w:rPr>
      </w:pPr>
      <w:r w:rsidRPr="00B75EA1">
        <w:rPr>
          <w:rFonts w:ascii="Times New Roman" w:hAnsi="Times New Roman" w:cs="Times New Roman"/>
          <w:color w:val="000000"/>
        </w:rPr>
        <w:t>4</w:t>
      </w:r>
      <w:r w:rsidR="009A3D4A" w:rsidRPr="00B75EA1">
        <w:rPr>
          <w:rFonts w:ascii="Times New Roman" w:hAnsi="Times New Roman" w:cs="Times New Roman"/>
          <w:color w:val="000000"/>
        </w:rPr>
        <w:t>.</w:t>
      </w:r>
      <w:r w:rsidRPr="00B75EA1">
        <w:rPr>
          <w:rFonts w:ascii="Times New Roman" w:hAnsi="Times New Roman" w:cs="Times New Roman"/>
          <w:color w:val="000000"/>
        </w:rPr>
        <w:t xml:space="preserve"> Μέχρι τις τριάντα μία (31) Μαρτίου και τις τριάντα (30) Σεπτεμβρίου έκαστου έτους, ο ΔΕΔΔΗΕ ως Διαχειριστής ΥΚΩ εισηγείται στη ΡΑΕ τα της αναπροσαρμογής των μοναδιαίων χρεώσεων ΥΚΩ κατ’ άρθρο 36 του ν. 4067/2012, ως ισχύει, υποβάλλοντας στοιχεία και εκτιμήσεις του ετήσιου οικονομικού αποτελέσματος του ειδικού Λογαριασμού ΥΚΩ του τρέχοντος και του επόμενου έτους, καθώς και τυχόν ελλειμμάτων του προηγούμενου έτους. Μέχρι τις τριάντα μία (31) </w:t>
      </w:r>
      <w:r w:rsidR="00402C30" w:rsidRPr="00B75EA1">
        <w:rPr>
          <w:rFonts w:ascii="Times New Roman" w:hAnsi="Times New Roman" w:cs="Times New Roman"/>
          <w:color w:val="000000"/>
        </w:rPr>
        <w:t>Μαΐου</w:t>
      </w:r>
      <w:r w:rsidRPr="00B75EA1">
        <w:rPr>
          <w:rFonts w:ascii="Times New Roman" w:hAnsi="Times New Roman" w:cs="Times New Roman"/>
          <w:color w:val="000000"/>
        </w:rPr>
        <w:t xml:space="preserve"> και τις τριάντα (30) Νοεμβρίου κάθε επομένου έτους από το έτος εκκαθάρισης, η ΡΑΕ αποστέλλει, κατ’ άρθρο 32 του ν. 4067/2012 ως ισχύει, τη σχετική εισήγησή της στον Υπουργό Περιβάλλοντος και Ενέργειας για την αναπροσαρμογή των μοναδιαίων χρεώσεων ΥΚΩ. </w:t>
      </w:r>
    </w:p>
    <w:p w14:paraId="59EF9FFB" w14:textId="231BE0A5" w:rsidR="003D151F" w:rsidRPr="00B75EA1" w:rsidRDefault="003D151F" w:rsidP="003D151F">
      <w:pPr>
        <w:autoSpaceDE w:val="0"/>
        <w:autoSpaceDN w:val="0"/>
        <w:adjustRightInd w:val="0"/>
        <w:spacing w:after="0" w:line="240" w:lineRule="auto"/>
        <w:jc w:val="both"/>
        <w:rPr>
          <w:rFonts w:ascii="Times New Roman" w:hAnsi="Times New Roman" w:cs="Times New Roman"/>
          <w:color w:val="000000"/>
        </w:rPr>
      </w:pPr>
      <w:r w:rsidRPr="00B75EA1">
        <w:rPr>
          <w:rFonts w:ascii="Times New Roman" w:hAnsi="Times New Roman" w:cs="Times New Roman"/>
          <w:color w:val="000000"/>
        </w:rPr>
        <w:t>Μέχρι τις τριάντα (</w:t>
      </w:r>
      <w:r w:rsidR="00777FDC" w:rsidRPr="00B75EA1">
        <w:rPr>
          <w:rFonts w:ascii="Times New Roman" w:hAnsi="Times New Roman" w:cs="Times New Roman"/>
          <w:color w:val="000000"/>
        </w:rPr>
        <w:t>30</w:t>
      </w:r>
      <w:r w:rsidRPr="00B75EA1">
        <w:rPr>
          <w:rFonts w:ascii="Times New Roman" w:hAnsi="Times New Roman" w:cs="Times New Roman"/>
          <w:color w:val="000000"/>
        </w:rPr>
        <w:t>) Σεπτεμβρίου κάθε επομένου έτους από το έτος εκκαθάρισης, ο Διαχειριστής ΜΔΝ υποβάλλει για έλεγχο στη ΡΑΕ τα απολογιστικά στοιχεία κόστους και ενέργειας για κάθε Σύστημα ΜΔΝ</w:t>
      </w:r>
      <w:r w:rsidR="00A24DA8" w:rsidRPr="00B75EA1">
        <w:rPr>
          <w:rFonts w:ascii="Times New Roman" w:hAnsi="Times New Roman" w:cs="Times New Roman"/>
          <w:color w:val="000000"/>
        </w:rPr>
        <w:t xml:space="preserve"> συνοδευόμενα από τα απαραίτητα συμπληρωματικά στοιχεία στα οποία βασίστηκαν οι τιμές των παραμέτρων και οι υπολογισμοί κόστους</w:t>
      </w:r>
      <w:r w:rsidRPr="00B75EA1">
        <w:rPr>
          <w:rFonts w:ascii="Times New Roman" w:hAnsi="Times New Roman" w:cs="Times New Roman"/>
          <w:color w:val="000000"/>
        </w:rPr>
        <w:t>. Μέχρι τις τριάντα</w:t>
      </w:r>
      <w:r w:rsidR="008B753B" w:rsidRPr="00B75EA1">
        <w:rPr>
          <w:rFonts w:ascii="Times New Roman" w:hAnsi="Times New Roman" w:cs="Times New Roman"/>
          <w:color w:val="000000"/>
        </w:rPr>
        <w:t xml:space="preserve"> μία</w:t>
      </w:r>
      <w:r w:rsidRPr="00B75EA1">
        <w:rPr>
          <w:rFonts w:ascii="Times New Roman" w:hAnsi="Times New Roman" w:cs="Times New Roman"/>
          <w:color w:val="000000"/>
        </w:rPr>
        <w:t xml:space="preserve"> (</w:t>
      </w:r>
      <w:r w:rsidR="008B753B" w:rsidRPr="00B75EA1">
        <w:rPr>
          <w:rFonts w:ascii="Times New Roman" w:hAnsi="Times New Roman" w:cs="Times New Roman"/>
          <w:color w:val="000000"/>
        </w:rPr>
        <w:t>31</w:t>
      </w:r>
      <w:r w:rsidRPr="00B75EA1">
        <w:rPr>
          <w:rFonts w:ascii="Times New Roman" w:hAnsi="Times New Roman" w:cs="Times New Roman"/>
          <w:color w:val="000000"/>
        </w:rPr>
        <w:t xml:space="preserve">) </w:t>
      </w:r>
      <w:r w:rsidR="00777FDC" w:rsidRPr="00B75EA1">
        <w:rPr>
          <w:rFonts w:ascii="Times New Roman" w:hAnsi="Times New Roman" w:cs="Times New Roman"/>
          <w:color w:val="000000"/>
        </w:rPr>
        <w:t>Δεκεμβρίου</w:t>
      </w:r>
      <w:r w:rsidRPr="00B75EA1">
        <w:rPr>
          <w:rFonts w:ascii="Times New Roman" w:hAnsi="Times New Roman" w:cs="Times New Roman"/>
          <w:color w:val="000000"/>
        </w:rPr>
        <w:t xml:space="preserve"> κάθε επομένου έτους από το έτος εκκαθάρισης, η ΡΑΕ με απόφασή της εγκρίνει τα ετήσια απολογιστικά στοιχεία κόστους, ως προς το εύλογο ή μη του ύψους και του είδους των επιμέρους δαπανών της δραστηριότητας της παραγωγής, τα οποία χρησιμοποιούνται από το Διαχειριστή ΜΔΝ για τον υπολογισμό του ανταλλάγματος των Υπηρεσιών Κοινής Ωφέλειας της παραγράφου 1 του άρθρου 1 της υπ’ αριθμ. ΠΔ5/ΗΛ/Β/Φ1Β/12924/13.06.2007 (ΦΕΚ Β΄ 1040/25.06.2007 ως ισχύει) Υπουργικής Απόφασης, όπως τροποποιήθηκε και ισχύει, για κάθε Σύστημα ΜΔΝ, σύμφωνα με τα οριζόμενα στην κείμενη νομοθεσία. </w:t>
      </w:r>
    </w:p>
    <w:p w14:paraId="58D9354D" w14:textId="77777777" w:rsidR="003D151F" w:rsidRPr="00B75EA1" w:rsidRDefault="003D151F" w:rsidP="003D151F">
      <w:pPr>
        <w:autoSpaceDE w:val="0"/>
        <w:autoSpaceDN w:val="0"/>
        <w:adjustRightInd w:val="0"/>
        <w:spacing w:after="0" w:line="240" w:lineRule="auto"/>
        <w:jc w:val="both"/>
        <w:rPr>
          <w:rFonts w:ascii="Times New Roman" w:hAnsi="Times New Roman" w:cs="Times New Roman"/>
          <w:color w:val="000000"/>
        </w:rPr>
      </w:pPr>
    </w:p>
    <w:p w14:paraId="1FDEB200" w14:textId="092C1B43" w:rsidR="003D151F" w:rsidRPr="00B75EA1" w:rsidRDefault="003D151F" w:rsidP="003D151F">
      <w:pPr>
        <w:pStyle w:val="Default"/>
        <w:jc w:val="both"/>
        <w:rPr>
          <w:rFonts w:ascii="Times New Roman" w:hAnsi="Times New Roman" w:cs="Times New Roman"/>
          <w:sz w:val="22"/>
          <w:szCs w:val="22"/>
        </w:rPr>
      </w:pPr>
      <w:r w:rsidRPr="00B75EA1">
        <w:rPr>
          <w:rFonts w:ascii="Times New Roman" w:hAnsi="Times New Roman" w:cs="Times New Roman"/>
          <w:sz w:val="22"/>
          <w:szCs w:val="22"/>
        </w:rPr>
        <w:t>5</w:t>
      </w:r>
      <w:r w:rsidR="009A3D4A" w:rsidRPr="00B75EA1">
        <w:rPr>
          <w:rFonts w:ascii="Times New Roman" w:hAnsi="Times New Roman" w:cs="Times New Roman"/>
          <w:sz w:val="22"/>
          <w:szCs w:val="22"/>
        </w:rPr>
        <w:t>.</w:t>
      </w:r>
      <w:r w:rsidRPr="00B75EA1">
        <w:rPr>
          <w:rFonts w:ascii="Times New Roman" w:hAnsi="Times New Roman" w:cs="Times New Roman"/>
          <w:sz w:val="22"/>
          <w:szCs w:val="22"/>
        </w:rPr>
        <w:t xml:space="preserve"> Ο Διαχειριστής ΜΔΝ εντός ενός </w:t>
      </w:r>
      <w:r w:rsidR="003F0909" w:rsidRPr="00B75EA1">
        <w:rPr>
          <w:rFonts w:ascii="Times New Roman" w:hAnsi="Times New Roman" w:cs="Times New Roman"/>
          <w:sz w:val="22"/>
          <w:szCs w:val="22"/>
        </w:rPr>
        <w:t xml:space="preserve">(1) </w:t>
      </w:r>
      <w:r w:rsidRPr="00B75EA1">
        <w:rPr>
          <w:rFonts w:ascii="Times New Roman" w:hAnsi="Times New Roman" w:cs="Times New Roman"/>
          <w:sz w:val="22"/>
          <w:szCs w:val="22"/>
        </w:rPr>
        <w:t>μηνός από τη</w:t>
      </w:r>
      <w:r w:rsidR="003F0909" w:rsidRPr="00B75EA1">
        <w:rPr>
          <w:rFonts w:ascii="Times New Roman" w:hAnsi="Times New Roman" w:cs="Times New Roman"/>
          <w:sz w:val="22"/>
          <w:szCs w:val="22"/>
        </w:rPr>
        <w:t xml:space="preserve"> </w:t>
      </w:r>
      <w:r w:rsidRPr="00B75EA1">
        <w:rPr>
          <w:rFonts w:ascii="Times New Roman" w:hAnsi="Times New Roman" w:cs="Times New Roman"/>
          <w:sz w:val="22"/>
          <w:szCs w:val="22"/>
        </w:rPr>
        <w:t xml:space="preserve"> δημοσίευση της απόφασης της ΡΑΕ για τ</w:t>
      </w:r>
      <w:r w:rsidR="003F0909" w:rsidRPr="00B75EA1">
        <w:rPr>
          <w:rFonts w:ascii="Times New Roman" w:hAnsi="Times New Roman" w:cs="Times New Roman"/>
          <w:sz w:val="22"/>
          <w:szCs w:val="22"/>
        </w:rPr>
        <w:t>ην έγκριση των ετήσιων απολογιστικών στοιχείων κόστους σύμφωνα με</w:t>
      </w:r>
      <w:r w:rsidRPr="00B75EA1">
        <w:rPr>
          <w:rFonts w:ascii="Times New Roman" w:hAnsi="Times New Roman" w:cs="Times New Roman"/>
          <w:sz w:val="22"/>
          <w:szCs w:val="22"/>
        </w:rPr>
        <w:t xml:space="preserve"> τη</w:t>
      </w:r>
      <w:r w:rsidR="003F0909" w:rsidRPr="00B75EA1">
        <w:rPr>
          <w:rFonts w:ascii="Times New Roman" w:hAnsi="Times New Roman" w:cs="Times New Roman"/>
          <w:sz w:val="22"/>
          <w:szCs w:val="22"/>
        </w:rPr>
        <w:t>ν</w:t>
      </w:r>
      <w:r w:rsidRPr="00B75EA1">
        <w:rPr>
          <w:rFonts w:ascii="Times New Roman" w:hAnsi="Times New Roman" w:cs="Times New Roman"/>
          <w:sz w:val="22"/>
          <w:szCs w:val="22"/>
        </w:rPr>
        <w:t xml:space="preserve"> παρ</w:t>
      </w:r>
      <w:r w:rsidR="003F0909" w:rsidRPr="00B75EA1">
        <w:rPr>
          <w:rFonts w:ascii="Times New Roman" w:hAnsi="Times New Roman" w:cs="Times New Roman"/>
          <w:sz w:val="22"/>
          <w:szCs w:val="22"/>
        </w:rPr>
        <w:t>άγραφο</w:t>
      </w:r>
      <w:r w:rsidRPr="00B75EA1">
        <w:rPr>
          <w:rFonts w:ascii="Times New Roman" w:hAnsi="Times New Roman" w:cs="Times New Roman"/>
          <w:sz w:val="22"/>
          <w:szCs w:val="22"/>
        </w:rPr>
        <w:t xml:space="preserve"> 4 του παρόντος, σε κάθε επόμενο έτος από το έτος εκκαθάρισης, αποστέλλει σε κάθε Συμμετέχοντα την Κατάσταση Ετήσιας Εκκαθάρισης, η οποία αφορά στο έτος αυτό. Στην Κατάσταση Ετήσιας Εκκαθάρισης αναγράφονται χρεώσεις και πιστώσεις οι οποίες προέκυψαν κατά την Ετήσια Οριστική Εκκαθάριση.</w:t>
      </w:r>
      <w:r w:rsidR="00630311">
        <w:rPr>
          <w:rFonts w:ascii="Times New Roman" w:hAnsi="Times New Roman" w:cs="Times New Roman"/>
          <w:sz w:val="22"/>
          <w:szCs w:val="22"/>
        </w:rPr>
        <w:t xml:space="preserve"> […]</w:t>
      </w:r>
    </w:p>
    <w:p w14:paraId="3D5F7A79" w14:textId="77777777" w:rsidR="003D151F" w:rsidRPr="00B75EA1" w:rsidRDefault="003D151F" w:rsidP="003D151F">
      <w:pPr>
        <w:pStyle w:val="Default"/>
        <w:jc w:val="both"/>
        <w:rPr>
          <w:rFonts w:ascii="Times New Roman" w:hAnsi="Times New Roman" w:cs="Times New Roman"/>
          <w:sz w:val="22"/>
          <w:szCs w:val="22"/>
        </w:rPr>
      </w:pPr>
    </w:p>
    <w:p w14:paraId="12EA50F2" w14:textId="00C26C51" w:rsidR="003D151F" w:rsidRPr="00B75EA1" w:rsidRDefault="003D151F" w:rsidP="003D151F">
      <w:pPr>
        <w:pStyle w:val="Default"/>
        <w:jc w:val="both"/>
        <w:rPr>
          <w:rFonts w:ascii="Times New Roman" w:hAnsi="Times New Roman" w:cs="Times New Roman"/>
          <w:sz w:val="22"/>
          <w:szCs w:val="22"/>
        </w:rPr>
      </w:pPr>
      <w:r w:rsidRPr="00B75EA1">
        <w:rPr>
          <w:rFonts w:ascii="Times New Roman" w:hAnsi="Times New Roman" w:cs="Times New Roman"/>
          <w:sz w:val="22"/>
          <w:szCs w:val="22"/>
        </w:rPr>
        <w:t>8. Η Κατάσταση Ετήσιας Εκκαθάρισης εκδίδεται κατά τον τύπο και το περιεχόμενο της Κατάστασης Μηνιαίας Εκκαθάρισης, για κάθε μήνα του έτους εκκαθάρισης, λαμβάνοντας υπόψη την ευχέρεια του Διαχειριστή να διενεργεί την Ετήσια Οριστική Εκκαθάριση διακριτά για ορισμένες από τις επιμέρους οριστικές εκκαθαρίσεις, σύμφωνα με την παρ</w:t>
      </w:r>
      <w:r w:rsidR="003F0909" w:rsidRPr="00B75EA1">
        <w:rPr>
          <w:rFonts w:ascii="Times New Roman" w:hAnsi="Times New Roman" w:cs="Times New Roman"/>
          <w:sz w:val="22"/>
          <w:szCs w:val="22"/>
        </w:rPr>
        <w:t>άγραφο</w:t>
      </w:r>
      <w:r w:rsidRPr="00B75EA1">
        <w:rPr>
          <w:rFonts w:ascii="Times New Roman" w:hAnsi="Times New Roman" w:cs="Times New Roman"/>
          <w:sz w:val="22"/>
          <w:szCs w:val="22"/>
        </w:rPr>
        <w:t xml:space="preserve"> 3 του παρόντος άρθρου.</w:t>
      </w:r>
      <w:r w:rsidR="00630311">
        <w:rPr>
          <w:rFonts w:ascii="Times New Roman" w:hAnsi="Times New Roman" w:cs="Times New Roman"/>
          <w:sz w:val="22"/>
          <w:szCs w:val="22"/>
        </w:rPr>
        <w:t>»</w:t>
      </w:r>
    </w:p>
    <w:p w14:paraId="42DFFF6C" w14:textId="34EE14CA" w:rsidR="0083660A" w:rsidRPr="00B75EA1" w:rsidRDefault="0083660A" w:rsidP="00FF26BC">
      <w:pPr>
        <w:autoSpaceDE w:val="0"/>
        <w:autoSpaceDN w:val="0"/>
        <w:adjustRightInd w:val="0"/>
        <w:spacing w:after="0" w:line="240" w:lineRule="auto"/>
        <w:jc w:val="both"/>
        <w:rPr>
          <w:rFonts w:ascii="Times New Roman" w:hAnsi="Times New Roman" w:cs="Times New Roman"/>
          <w:b/>
          <w:bCs/>
          <w:color w:val="000000"/>
        </w:rPr>
      </w:pPr>
    </w:p>
    <w:p w14:paraId="2CA047A6" w14:textId="77777777" w:rsidR="007B6F37" w:rsidRPr="00B75EA1" w:rsidRDefault="007B6F37" w:rsidP="00FF26BC">
      <w:pPr>
        <w:autoSpaceDE w:val="0"/>
        <w:autoSpaceDN w:val="0"/>
        <w:adjustRightInd w:val="0"/>
        <w:spacing w:after="0" w:line="240" w:lineRule="auto"/>
        <w:jc w:val="both"/>
        <w:rPr>
          <w:rFonts w:ascii="Times New Roman" w:hAnsi="Times New Roman" w:cs="Times New Roman"/>
          <w:b/>
          <w:bCs/>
          <w:color w:val="000000"/>
        </w:rPr>
      </w:pPr>
    </w:p>
    <w:p w14:paraId="689DC958" w14:textId="6522A229" w:rsidR="0083660A" w:rsidRPr="00B75EA1" w:rsidRDefault="00F92B7F" w:rsidP="00F92B7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bCs/>
          <w:color w:val="000000"/>
        </w:rPr>
      </w:pPr>
      <w:r w:rsidRPr="00B75EA1">
        <w:rPr>
          <w:rFonts w:ascii="Times New Roman" w:hAnsi="Times New Roman" w:cs="Times New Roman"/>
          <w:b/>
          <w:bCs/>
          <w:color w:val="000000"/>
        </w:rPr>
        <w:t>9</w:t>
      </w:r>
      <w:r w:rsidR="00E32D50" w:rsidRPr="00B75EA1">
        <w:rPr>
          <w:rFonts w:ascii="Times New Roman" w:hAnsi="Times New Roman" w:cs="Times New Roman"/>
          <w:b/>
          <w:bCs/>
          <w:color w:val="000000"/>
        </w:rPr>
        <w:t>.</w:t>
      </w:r>
      <w:r w:rsidR="0083660A" w:rsidRPr="00B75EA1">
        <w:rPr>
          <w:rFonts w:ascii="Times New Roman" w:hAnsi="Times New Roman" w:cs="Times New Roman"/>
          <w:b/>
          <w:bCs/>
          <w:color w:val="000000"/>
        </w:rPr>
        <w:t>Προτείνεται η τροποποίηση της παραγράφου 4 του άρθρου 192 του Κώδικα ΜΔΝ ως ακολούθως :</w:t>
      </w:r>
    </w:p>
    <w:p w14:paraId="5BE247FB" w14:textId="12F05535" w:rsidR="0083660A" w:rsidRPr="00B75EA1" w:rsidRDefault="0083660A" w:rsidP="0083660A">
      <w:pPr>
        <w:pStyle w:val="Default"/>
        <w:jc w:val="both"/>
        <w:rPr>
          <w:rFonts w:ascii="Times New Roman" w:hAnsi="Times New Roman" w:cs="Times New Roman"/>
          <w:sz w:val="22"/>
          <w:szCs w:val="22"/>
        </w:rPr>
      </w:pPr>
    </w:p>
    <w:p w14:paraId="156E0225" w14:textId="5ECF7D8E" w:rsidR="00584E88" w:rsidRPr="00B75EA1" w:rsidRDefault="00630311" w:rsidP="005C4229">
      <w:pPr>
        <w:pStyle w:val="Default"/>
        <w:jc w:val="both"/>
        <w:rPr>
          <w:rFonts w:ascii="Times New Roman" w:hAnsi="Times New Roman" w:cs="Times New Roman"/>
          <w:sz w:val="20"/>
          <w:szCs w:val="20"/>
        </w:rPr>
      </w:pPr>
      <w:r>
        <w:rPr>
          <w:rFonts w:ascii="Times New Roman" w:hAnsi="Times New Roman" w:cs="Times New Roman"/>
          <w:sz w:val="22"/>
          <w:szCs w:val="22"/>
        </w:rPr>
        <w:t>«</w:t>
      </w:r>
      <w:r w:rsidR="0083660A" w:rsidRPr="00B75EA1">
        <w:rPr>
          <w:rFonts w:ascii="Times New Roman" w:hAnsi="Times New Roman" w:cs="Times New Roman"/>
          <w:sz w:val="22"/>
          <w:szCs w:val="22"/>
        </w:rPr>
        <w:t xml:space="preserve">Τα ως άνω τιμήματα ενέργειας προς Μονάδες ΑΠΕ/ΣΗΘΥΑ και Μονάδες Υβριδικού Σταθμού για την έγχυση της ενέργειας τους </w:t>
      </w:r>
      <w:r w:rsidR="00C8277C" w:rsidRPr="00B75EA1">
        <w:rPr>
          <w:rFonts w:ascii="Times New Roman" w:hAnsi="Times New Roman" w:cs="Times New Roman"/>
          <w:sz w:val="22"/>
          <w:szCs w:val="22"/>
        </w:rPr>
        <w:t>στο Σύστημα ΜΔΝ</w:t>
      </w:r>
      <w:r w:rsidR="007A485B" w:rsidRPr="00B75EA1">
        <w:rPr>
          <w:rFonts w:ascii="Times New Roman" w:hAnsi="Times New Roman" w:cs="Times New Roman"/>
          <w:sz w:val="22"/>
          <w:szCs w:val="22"/>
        </w:rPr>
        <w:t xml:space="preserve">, που νοείται ως ΑΠΕ για την περίπτωση των Υβριδικών Σταθμών, </w:t>
      </w:r>
      <w:r w:rsidR="0083660A" w:rsidRPr="00B75EA1">
        <w:rPr>
          <w:rFonts w:ascii="Times New Roman" w:hAnsi="Times New Roman" w:cs="Times New Roman"/>
          <w:sz w:val="22"/>
          <w:szCs w:val="22"/>
        </w:rPr>
        <w:t xml:space="preserve">εγγράφονται ως χρεώσεις </w:t>
      </w:r>
      <w:r w:rsidR="00CA45AC" w:rsidRPr="00B75EA1">
        <w:rPr>
          <w:rFonts w:ascii="Times New Roman" w:hAnsi="Times New Roman" w:cs="Times New Roman"/>
          <w:sz w:val="22"/>
          <w:szCs w:val="22"/>
        </w:rPr>
        <w:t>του Υπολ</w:t>
      </w:r>
      <w:r w:rsidR="0083660A" w:rsidRPr="00B75EA1">
        <w:rPr>
          <w:rFonts w:ascii="Times New Roman" w:hAnsi="Times New Roman" w:cs="Times New Roman"/>
          <w:sz w:val="22"/>
          <w:szCs w:val="22"/>
        </w:rPr>
        <w:t>ογαριασμού Λ</w:t>
      </w:r>
      <w:r w:rsidR="00CA45AC" w:rsidRPr="00B75EA1">
        <w:rPr>
          <w:rFonts w:ascii="Times New Roman" w:hAnsi="Times New Roman" w:cs="Times New Roman"/>
          <w:sz w:val="22"/>
          <w:szCs w:val="22"/>
        </w:rPr>
        <w:t>-</w:t>
      </w:r>
      <w:r w:rsidR="0083660A" w:rsidRPr="00B75EA1">
        <w:rPr>
          <w:rFonts w:ascii="Times New Roman" w:hAnsi="Times New Roman" w:cs="Times New Roman"/>
          <w:sz w:val="22"/>
          <w:szCs w:val="22"/>
        </w:rPr>
        <w:t>Ζ</w:t>
      </w:r>
      <w:r w:rsidR="00CA45AC" w:rsidRPr="00B75EA1">
        <w:rPr>
          <w:rFonts w:ascii="Times New Roman" w:hAnsi="Times New Roman" w:cs="Times New Roman"/>
          <w:sz w:val="22"/>
          <w:szCs w:val="22"/>
        </w:rPr>
        <w:t>1</w:t>
      </w:r>
      <w:r w:rsidR="0083660A" w:rsidRPr="00B75EA1">
        <w:rPr>
          <w:rFonts w:ascii="Times New Roman" w:hAnsi="Times New Roman" w:cs="Times New Roman"/>
          <w:sz w:val="22"/>
          <w:szCs w:val="22"/>
        </w:rPr>
        <w:t xml:space="preserve"> του Συστήματος ΜΔΝ και των επιμέρους Λογαριασμών των Συμμετεχόντων</w:t>
      </w:r>
      <w:r w:rsidR="007A485B" w:rsidRPr="00B75EA1">
        <w:rPr>
          <w:rFonts w:ascii="Times New Roman" w:hAnsi="Times New Roman" w:cs="Times New Roman"/>
          <w:sz w:val="22"/>
          <w:szCs w:val="22"/>
        </w:rPr>
        <w:t>, ενώ για την έγχυση της ενέργειας Υβριδικών Σταθμών που νοείται ως συμβατική ενέργεια, το αντίστοιχο τίμημα εγγράφεται ως χρέωση του Λογαριασμού Λ-Α του Συστήματος ΜΔΝ και των επιμέρους Λογαριασμών των Συμμετεχόντων.</w:t>
      </w:r>
      <w:r w:rsidR="0083660A" w:rsidRPr="00B75EA1">
        <w:rPr>
          <w:rFonts w:ascii="Times New Roman" w:hAnsi="Times New Roman" w:cs="Times New Roman"/>
          <w:sz w:val="22"/>
          <w:szCs w:val="22"/>
        </w:rPr>
        <w:t xml:space="preserve"> Αντίστοιχα οι ως άνω χρεώσεις για την ενέργεια που απορροφάται από το Σύστημα ΜΔΝ από Σταθμούς για τους οποίους προβλέπεται συγκεκριμένη ενιαία τιμή απορρόφησης, εγγράφονται ως πιστώσεις του </w:t>
      </w:r>
      <w:r w:rsidR="007A485B" w:rsidRPr="00B75EA1">
        <w:rPr>
          <w:rFonts w:ascii="Times New Roman" w:hAnsi="Times New Roman" w:cs="Times New Roman"/>
          <w:sz w:val="22"/>
          <w:szCs w:val="22"/>
        </w:rPr>
        <w:t>Υπολ</w:t>
      </w:r>
      <w:r w:rsidR="0083660A" w:rsidRPr="00B75EA1">
        <w:rPr>
          <w:rFonts w:ascii="Times New Roman" w:hAnsi="Times New Roman" w:cs="Times New Roman"/>
          <w:sz w:val="22"/>
          <w:szCs w:val="22"/>
        </w:rPr>
        <w:t>ογαριασμού Λ</w:t>
      </w:r>
      <w:r w:rsidR="00CA45AC" w:rsidRPr="00B75EA1">
        <w:rPr>
          <w:rFonts w:ascii="Times New Roman" w:hAnsi="Times New Roman" w:cs="Times New Roman"/>
          <w:sz w:val="22"/>
          <w:szCs w:val="22"/>
        </w:rPr>
        <w:t>-</w:t>
      </w:r>
      <w:r w:rsidR="0083660A" w:rsidRPr="00B75EA1">
        <w:rPr>
          <w:rFonts w:ascii="Times New Roman" w:hAnsi="Times New Roman" w:cs="Times New Roman"/>
          <w:sz w:val="22"/>
          <w:szCs w:val="22"/>
        </w:rPr>
        <w:t>Ζ</w:t>
      </w:r>
      <w:r w:rsidR="00CA45AC" w:rsidRPr="00B75EA1">
        <w:rPr>
          <w:rFonts w:ascii="Times New Roman" w:hAnsi="Times New Roman" w:cs="Times New Roman"/>
          <w:sz w:val="22"/>
          <w:szCs w:val="22"/>
        </w:rPr>
        <w:t>1</w:t>
      </w:r>
      <w:r w:rsidR="0083660A" w:rsidRPr="00B75EA1">
        <w:rPr>
          <w:rFonts w:ascii="Times New Roman" w:hAnsi="Times New Roman" w:cs="Times New Roman"/>
          <w:sz w:val="22"/>
          <w:szCs w:val="22"/>
        </w:rPr>
        <w:t xml:space="preserve"> του συστήματος ΜΔΝ και των επιμέρους Λογαριασμών των Συμμετεχόντων. Για την ίδια ενέργεια ο Λογαριασμός Λ</w:t>
      </w:r>
      <w:r w:rsidR="007A485B" w:rsidRPr="00B75EA1">
        <w:rPr>
          <w:rFonts w:ascii="Times New Roman" w:hAnsi="Times New Roman" w:cs="Times New Roman"/>
          <w:sz w:val="22"/>
          <w:szCs w:val="22"/>
        </w:rPr>
        <w:t>-</w:t>
      </w:r>
      <w:r w:rsidR="0083660A" w:rsidRPr="00B75EA1">
        <w:rPr>
          <w:rFonts w:ascii="Times New Roman" w:hAnsi="Times New Roman" w:cs="Times New Roman"/>
          <w:sz w:val="22"/>
          <w:szCs w:val="22"/>
        </w:rPr>
        <w:t>Ζ</w:t>
      </w:r>
      <w:r w:rsidR="007A485B" w:rsidRPr="00B75EA1">
        <w:rPr>
          <w:rFonts w:ascii="Times New Roman" w:hAnsi="Times New Roman" w:cs="Times New Roman"/>
          <w:sz w:val="22"/>
          <w:szCs w:val="22"/>
        </w:rPr>
        <w:t>1</w:t>
      </w:r>
      <w:r w:rsidR="0083660A" w:rsidRPr="00B75EA1">
        <w:rPr>
          <w:rFonts w:ascii="Times New Roman" w:hAnsi="Times New Roman" w:cs="Times New Roman"/>
          <w:sz w:val="22"/>
          <w:szCs w:val="22"/>
        </w:rPr>
        <w:t xml:space="preserve"> χρεώνεται με ποσό που αντιστοιχεί στην τιμολόγηση της ενέργειας αυτής στο μηνιαίο Μέσο Μεταβλητό Κόστος Παραγωγής του Συστήματος ΜΔΝ και πιστώνεται αντίστοιχα ο Λογαριασμός Λ-Α.</w:t>
      </w:r>
      <w:r>
        <w:rPr>
          <w:rFonts w:ascii="Times New Roman" w:hAnsi="Times New Roman" w:cs="Times New Roman"/>
          <w:sz w:val="22"/>
          <w:szCs w:val="22"/>
        </w:rPr>
        <w:t>»</w:t>
      </w:r>
    </w:p>
    <w:sectPr w:rsidR="00584E88" w:rsidRPr="00B75EA1">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2B053" w14:textId="77777777" w:rsidR="00712525" w:rsidRDefault="00712525" w:rsidP="007A173B">
      <w:pPr>
        <w:spacing w:after="0" w:line="240" w:lineRule="auto"/>
      </w:pPr>
      <w:r>
        <w:separator/>
      </w:r>
    </w:p>
  </w:endnote>
  <w:endnote w:type="continuationSeparator" w:id="0">
    <w:p w14:paraId="5747A253" w14:textId="77777777" w:rsidR="00712525" w:rsidRDefault="00712525" w:rsidP="007A1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Unicode MS">
    <w:panose1 w:val="020B0604020202020204"/>
    <w:charset w:val="55"/>
    <w:family w:val="auto"/>
    <w:pitch w:val="variable"/>
    <w:sig w:usb0="F7FFAFFF" w:usb1="E9DFFFFF" w:usb2="0000003F" w:usb3="00000000" w:csb0="003F01FF" w:csb1="00000000"/>
  </w:font>
  <w:font w:name="Andalus">
    <w:charset w:val="00"/>
    <w:family w:val="roman"/>
    <w:pitch w:val="variable"/>
    <w:sig w:usb0="00002003" w:usb1="80000000" w:usb2="00000008" w:usb3="00000000" w:csb0="00000041"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41567"/>
      <w:docPartObj>
        <w:docPartGallery w:val="Page Numbers (Bottom of Page)"/>
        <w:docPartUnique/>
      </w:docPartObj>
    </w:sdtPr>
    <w:sdtEndPr>
      <w:rPr>
        <w:rFonts w:ascii="Times New Roman" w:hAnsi="Times New Roman" w:cs="Times New Roman"/>
      </w:rPr>
    </w:sdtEndPr>
    <w:sdtContent>
      <w:p w14:paraId="06FAA3FD" w14:textId="23241DAC" w:rsidR="0059703A" w:rsidRPr="007A173B" w:rsidRDefault="0059703A">
        <w:pPr>
          <w:pStyle w:val="Footer"/>
          <w:jc w:val="right"/>
          <w:rPr>
            <w:rFonts w:ascii="Times New Roman" w:hAnsi="Times New Roman" w:cs="Times New Roman"/>
          </w:rPr>
        </w:pPr>
        <w:r w:rsidRPr="007A173B">
          <w:rPr>
            <w:rFonts w:ascii="Times New Roman" w:hAnsi="Times New Roman" w:cs="Times New Roman"/>
          </w:rPr>
          <w:fldChar w:fldCharType="begin"/>
        </w:r>
        <w:r w:rsidRPr="00A47805">
          <w:rPr>
            <w:rFonts w:ascii="Times New Roman" w:hAnsi="Times New Roman" w:cs="Times New Roman"/>
          </w:rPr>
          <w:instrText>PAGE   \* MERGEFORMAT</w:instrText>
        </w:r>
        <w:r w:rsidRPr="007A173B">
          <w:rPr>
            <w:rFonts w:ascii="Times New Roman" w:hAnsi="Times New Roman" w:cs="Times New Roman"/>
          </w:rPr>
          <w:fldChar w:fldCharType="separate"/>
        </w:r>
        <w:r w:rsidR="00DF5B2C">
          <w:rPr>
            <w:rFonts w:ascii="Times New Roman" w:hAnsi="Times New Roman" w:cs="Times New Roman"/>
            <w:noProof/>
          </w:rPr>
          <w:t>8</w:t>
        </w:r>
        <w:r w:rsidRPr="007A173B">
          <w:rPr>
            <w:rFonts w:ascii="Times New Roman" w:hAnsi="Times New Roman" w:cs="Times New Roman"/>
          </w:rPr>
          <w:fldChar w:fldCharType="end"/>
        </w:r>
      </w:p>
    </w:sdtContent>
  </w:sdt>
  <w:p w14:paraId="7D72F8DB" w14:textId="77777777" w:rsidR="0059703A" w:rsidRDefault="005970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57082" w14:textId="77777777" w:rsidR="00712525" w:rsidRDefault="00712525" w:rsidP="007A173B">
      <w:pPr>
        <w:spacing w:after="0" w:line="240" w:lineRule="auto"/>
      </w:pPr>
      <w:r>
        <w:separator/>
      </w:r>
    </w:p>
  </w:footnote>
  <w:footnote w:type="continuationSeparator" w:id="0">
    <w:p w14:paraId="4F38CB4C" w14:textId="77777777" w:rsidR="00712525" w:rsidRDefault="00712525" w:rsidP="007A17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840FC"/>
    <w:multiLevelType w:val="multilevel"/>
    <w:tmpl w:val="FBDA9EE2"/>
    <w:styleLink w:val="123"/>
    <w:lvl w:ilvl="0">
      <w:start w:val="1"/>
      <w:numFmt w:val="decimal"/>
      <w:lvlText w:val="%1."/>
      <w:lvlJc w:val="left"/>
      <w:pPr>
        <w:tabs>
          <w:tab w:val="num" w:pos="425"/>
        </w:tabs>
        <w:ind w:left="425" w:hanging="425"/>
      </w:pPr>
      <w:rPr>
        <w:rFonts w:hint="default"/>
      </w:rPr>
    </w:lvl>
    <w:lvl w:ilvl="1">
      <w:start w:val="1"/>
      <w:numFmt w:val="none"/>
      <w:lvlText w:val=""/>
      <w:lvlJc w:val="left"/>
      <w:pPr>
        <w:tabs>
          <w:tab w:val="num" w:pos="425"/>
        </w:tabs>
        <w:ind w:left="425" w:hanging="425"/>
      </w:pPr>
      <w:rPr>
        <w:rFonts w:hint="default"/>
      </w:rPr>
    </w:lvl>
    <w:lvl w:ilvl="2">
      <w:start w:val="1"/>
      <w:numFmt w:val="none"/>
      <w:lvlText w:val=""/>
      <w:lvlJc w:val="left"/>
      <w:pPr>
        <w:tabs>
          <w:tab w:val="num" w:pos="425"/>
        </w:tabs>
        <w:ind w:left="425" w:hanging="425"/>
      </w:pPr>
      <w:rPr>
        <w:rFonts w:hint="default"/>
      </w:rPr>
    </w:lvl>
    <w:lvl w:ilvl="3">
      <w:start w:val="1"/>
      <w:numFmt w:val="none"/>
      <w:lvlText w:val=""/>
      <w:lvlJc w:val="left"/>
      <w:pPr>
        <w:tabs>
          <w:tab w:val="num" w:pos="425"/>
        </w:tabs>
        <w:ind w:left="425" w:hanging="425"/>
      </w:pPr>
      <w:rPr>
        <w:rFonts w:hint="default"/>
      </w:rPr>
    </w:lvl>
    <w:lvl w:ilvl="4">
      <w:start w:val="1"/>
      <w:numFmt w:val="none"/>
      <w:lvlText w:val=""/>
      <w:lvlJc w:val="left"/>
      <w:pPr>
        <w:tabs>
          <w:tab w:val="num" w:pos="425"/>
        </w:tabs>
        <w:ind w:left="425" w:hanging="425"/>
      </w:pPr>
      <w:rPr>
        <w:rFonts w:hint="default"/>
      </w:rPr>
    </w:lvl>
    <w:lvl w:ilvl="5">
      <w:start w:val="1"/>
      <w:numFmt w:val="none"/>
      <w:lvlText w:val=""/>
      <w:lvlJc w:val="left"/>
      <w:pPr>
        <w:tabs>
          <w:tab w:val="num" w:pos="425"/>
        </w:tabs>
        <w:ind w:left="425" w:hanging="425"/>
      </w:pPr>
      <w:rPr>
        <w:rFonts w:hint="default"/>
      </w:rPr>
    </w:lvl>
    <w:lvl w:ilvl="6">
      <w:start w:val="1"/>
      <w:numFmt w:val="none"/>
      <w:lvlText w:val=""/>
      <w:lvlJc w:val="left"/>
      <w:pPr>
        <w:tabs>
          <w:tab w:val="num" w:pos="425"/>
        </w:tabs>
        <w:ind w:left="425" w:hanging="425"/>
      </w:pPr>
      <w:rPr>
        <w:rFonts w:hint="default"/>
      </w:rPr>
    </w:lvl>
    <w:lvl w:ilvl="7">
      <w:start w:val="1"/>
      <w:numFmt w:val="none"/>
      <w:lvlText w:val=""/>
      <w:lvlJc w:val="left"/>
      <w:pPr>
        <w:tabs>
          <w:tab w:val="num" w:pos="425"/>
        </w:tabs>
        <w:ind w:left="425" w:hanging="425"/>
      </w:pPr>
      <w:rPr>
        <w:rFonts w:hint="default"/>
      </w:rPr>
    </w:lvl>
    <w:lvl w:ilvl="8">
      <w:start w:val="1"/>
      <w:numFmt w:val="none"/>
      <w:lvlText w:val=""/>
      <w:lvlJc w:val="left"/>
      <w:pPr>
        <w:tabs>
          <w:tab w:val="num" w:pos="425"/>
        </w:tabs>
        <w:ind w:left="425" w:hanging="425"/>
      </w:pPr>
      <w:rPr>
        <w:rFonts w:hint="default"/>
      </w:rPr>
    </w:lvl>
  </w:abstractNum>
  <w:abstractNum w:abstractNumId="1" w15:restartNumberingAfterBreak="0">
    <w:nsid w:val="10FB1818"/>
    <w:multiLevelType w:val="hybridMultilevel"/>
    <w:tmpl w:val="3C1696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1150842"/>
    <w:multiLevelType w:val="hybridMultilevel"/>
    <w:tmpl w:val="DC7626A0"/>
    <w:lvl w:ilvl="0" w:tplc="04080015">
      <w:start w:val="1"/>
      <w:numFmt w:val="upperLetter"/>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135601BA"/>
    <w:multiLevelType w:val="hybridMultilevel"/>
    <w:tmpl w:val="E1146CDE"/>
    <w:lvl w:ilvl="0" w:tplc="4EEE7FC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F8E42BB"/>
    <w:multiLevelType w:val="hybridMultilevel"/>
    <w:tmpl w:val="01E0476E"/>
    <w:lvl w:ilvl="0" w:tplc="9AB6D53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EDA2508"/>
    <w:multiLevelType w:val="hybridMultilevel"/>
    <w:tmpl w:val="C37C0FE8"/>
    <w:lvl w:ilvl="0" w:tplc="4EEE7FC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B3E0561"/>
    <w:multiLevelType w:val="hybridMultilevel"/>
    <w:tmpl w:val="2E42F6CE"/>
    <w:lvl w:ilvl="0" w:tplc="4EEE7FC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18B3BDF"/>
    <w:multiLevelType w:val="hybridMultilevel"/>
    <w:tmpl w:val="60681264"/>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9475FFA"/>
    <w:multiLevelType w:val="hybridMultilevel"/>
    <w:tmpl w:val="CDB2C63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15:restartNumberingAfterBreak="0">
    <w:nsid w:val="620F2797"/>
    <w:multiLevelType w:val="hybridMultilevel"/>
    <w:tmpl w:val="4434DE6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4D93095"/>
    <w:multiLevelType w:val="hybridMultilevel"/>
    <w:tmpl w:val="DBCA5DB0"/>
    <w:lvl w:ilvl="0" w:tplc="4EEE7FC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64E025F8"/>
    <w:multiLevelType w:val="hybridMultilevel"/>
    <w:tmpl w:val="57DCF652"/>
    <w:lvl w:ilvl="0" w:tplc="0408000F">
      <w:start w:val="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673C38CA"/>
    <w:multiLevelType w:val="hybridMultilevel"/>
    <w:tmpl w:val="970407C6"/>
    <w:lvl w:ilvl="0" w:tplc="4EEE7FC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5"/>
  </w:num>
  <w:num w:numId="6">
    <w:abstractNumId w:val="6"/>
  </w:num>
  <w:num w:numId="7">
    <w:abstractNumId w:val="3"/>
  </w:num>
  <w:num w:numId="8">
    <w:abstractNumId w:val="12"/>
  </w:num>
  <w:num w:numId="9">
    <w:abstractNumId w:val="10"/>
  </w:num>
  <w:num w:numId="10">
    <w:abstractNumId w:val="9"/>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D52"/>
    <w:rsid w:val="0000043D"/>
    <w:rsid w:val="000056C2"/>
    <w:rsid w:val="000220DA"/>
    <w:rsid w:val="00026F88"/>
    <w:rsid w:val="000348CA"/>
    <w:rsid w:val="0003622D"/>
    <w:rsid w:val="0004234F"/>
    <w:rsid w:val="0004366E"/>
    <w:rsid w:val="00046A3F"/>
    <w:rsid w:val="00061AE9"/>
    <w:rsid w:val="000656C4"/>
    <w:rsid w:val="00071536"/>
    <w:rsid w:val="000832AC"/>
    <w:rsid w:val="00086B97"/>
    <w:rsid w:val="00090E9E"/>
    <w:rsid w:val="0009225D"/>
    <w:rsid w:val="0009380D"/>
    <w:rsid w:val="00094875"/>
    <w:rsid w:val="000A06AE"/>
    <w:rsid w:val="000A113F"/>
    <w:rsid w:val="000A47B4"/>
    <w:rsid w:val="000A74ED"/>
    <w:rsid w:val="000B1D44"/>
    <w:rsid w:val="000B727A"/>
    <w:rsid w:val="000C3667"/>
    <w:rsid w:val="000C6679"/>
    <w:rsid w:val="000E35D9"/>
    <w:rsid w:val="000F00F5"/>
    <w:rsid w:val="000F172C"/>
    <w:rsid w:val="000F26FE"/>
    <w:rsid w:val="000F55E5"/>
    <w:rsid w:val="000F6223"/>
    <w:rsid w:val="000F63AE"/>
    <w:rsid w:val="001019B9"/>
    <w:rsid w:val="00102626"/>
    <w:rsid w:val="00105FDC"/>
    <w:rsid w:val="00116328"/>
    <w:rsid w:val="001175CB"/>
    <w:rsid w:val="0012026D"/>
    <w:rsid w:val="0012195F"/>
    <w:rsid w:val="001224D6"/>
    <w:rsid w:val="00123BA3"/>
    <w:rsid w:val="00123F83"/>
    <w:rsid w:val="001328D4"/>
    <w:rsid w:val="001330DF"/>
    <w:rsid w:val="00136BD8"/>
    <w:rsid w:val="0015132B"/>
    <w:rsid w:val="001515EC"/>
    <w:rsid w:val="001611EE"/>
    <w:rsid w:val="001618DA"/>
    <w:rsid w:val="0016427C"/>
    <w:rsid w:val="00167506"/>
    <w:rsid w:val="00177E70"/>
    <w:rsid w:val="001A16F2"/>
    <w:rsid w:val="001A2BF5"/>
    <w:rsid w:val="001B5872"/>
    <w:rsid w:val="001C7BAC"/>
    <w:rsid w:val="001D2021"/>
    <w:rsid w:val="001D62F0"/>
    <w:rsid w:val="001E4CD2"/>
    <w:rsid w:val="001F2A51"/>
    <w:rsid w:val="001F4218"/>
    <w:rsid w:val="001F5B95"/>
    <w:rsid w:val="00203005"/>
    <w:rsid w:val="00213016"/>
    <w:rsid w:val="00220754"/>
    <w:rsid w:val="002210A4"/>
    <w:rsid w:val="0022656D"/>
    <w:rsid w:val="00235890"/>
    <w:rsid w:val="00240B4E"/>
    <w:rsid w:val="00247926"/>
    <w:rsid w:val="00263773"/>
    <w:rsid w:val="0028108F"/>
    <w:rsid w:val="00282B04"/>
    <w:rsid w:val="00294DA2"/>
    <w:rsid w:val="002A1BDD"/>
    <w:rsid w:val="002A39CB"/>
    <w:rsid w:val="002B06F6"/>
    <w:rsid w:val="002C7DBA"/>
    <w:rsid w:val="002D0F36"/>
    <w:rsid w:val="002D4D52"/>
    <w:rsid w:val="002F19CE"/>
    <w:rsid w:val="002F3067"/>
    <w:rsid w:val="002F74CE"/>
    <w:rsid w:val="00301C8E"/>
    <w:rsid w:val="00302AA9"/>
    <w:rsid w:val="00303D9F"/>
    <w:rsid w:val="00303E2F"/>
    <w:rsid w:val="003118CA"/>
    <w:rsid w:val="00311D03"/>
    <w:rsid w:val="00311EF4"/>
    <w:rsid w:val="00312ED8"/>
    <w:rsid w:val="003144A7"/>
    <w:rsid w:val="003157CC"/>
    <w:rsid w:val="00321C91"/>
    <w:rsid w:val="00322522"/>
    <w:rsid w:val="003242DA"/>
    <w:rsid w:val="003253E7"/>
    <w:rsid w:val="0032673B"/>
    <w:rsid w:val="003321CE"/>
    <w:rsid w:val="00341821"/>
    <w:rsid w:val="00341C6A"/>
    <w:rsid w:val="003424F4"/>
    <w:rsid w:val="003428E0"/>
    <w:rsid w:val="003451DD"/>
    <w:rsid w:val="003570BC"/>
    <w:rsid w:val="00357CB6"/>
    <w:rsid w:val="003728C9"/>
    <w:rsid w:val="00373169"/>
    <w:rsid w:val="00385522"/>
    <w:rsid w:val="00386A56"/>
    <w:rsid w:val="00397865"/>
    <w:rsid w:val="003A6097"/>
    <w:rsid w:val="003C4B0A"/>
    <w:rsid w:val="003C744E"/>
    <w:rsid w:val="003D151F"/>
    <w:rsid w:val="003D41B1"/>
    <w:rsid w:val="003D434F"/>
    <w:rsid w:val="003E062D"/>
    <w:rsid w:val="003E2D52"/>
    <w:rsid w:val="003E3F30"/>
    <w:rsid w:val="003E6CA5"/>
    <w:rsid w:val="003F0909"/>
    <w:rsid w:val="00402C30"/>
    <w:rsid w:val="00402F7C"/>
    <w:rsid w:val="00410D4C"/>
    <w:rsid w:val="00411A60"/>
    <w:rsid w:val="004151F7"/>
    <w:rsid w:val="004153F9"/>
    <w:rsid w:val="00416252"/>
    <w:rsid w:val="00422D93"/>
    <w:rsid w:val="004269C9"/>
    <w:rsid w:val="0042764F"/>
    <w:rsid w:val="00432E15"/>
    <w:rsid w:val="00432F56"/>
    <w:rsid w:val="0043649D"/>
    <w:rsid w:val="0044098F"/>
    <w:rsid w:val="00441142"/>
    <w:rsid w:val="00444ADE"/>
    <w:rsid w:val="004464A4"/>
    <w:rsid w:val="00446619"/>
    <w:rsid w:val="00447848"/>
    <w:rsid w:val="00457435"/>
    <w:rsid w:val="0046296C"/>
    <w:rsid w:val="004663E8"/>
    <w:rsid w:val="0046790C"/>
    <w:rsid w:val="00467FEF"/>
    <w:rsid w:val="00475BA0"/>
    <w:rsid w:val="004806F9"/>
    <w:rsid w:val="00481349"/>
    <w:rsid w:val="00481779"/>
    <w:rsid w:val="0048492E"/>
    <w:rsid w:val="004871D6"/>
    <w:rsid w:val="0049121C"/>
    <w:rsid w:val="004920B8"/>
    <w:rsid w:val="00497F6D"/>
    <w:rsid w:val="004B4961"/>
    <w:rsid w:val="004B4DD7"/>
    <w:rsid w:val="004B66E5"/>
    <w:rsid w:val="004B6CA6"/>
    <w:rsid w:val="004C0020"/>
    <w:rsid w:val="004C5C65"/>
    <w:rsid w:val="004C7A73"/>
    <w:rsid w:val="004D618D"/>
    <w:rsid w:val="004D63E3"/>
    <w:rsid w:val="004E2ADE"/>
    <w:rsid w:val="004F13D1"/>
    <w:rsid w:val="004F1A11"/>
    <w:rsid w:val="004F540D"/>
    <w:rsid w:val="005005FC"/>
    <w:rsid w:val="00505EAF"/>
    <w:rsid w:val="00526102"/>
    <w:rsid w:val="0052752C"/>
    <w:rsid w:val="0053268C"/>
    <w:rsid w:val="00541121"/>
    <w:rsid w:val="005437AA"/>
    <w:rsid w:val="0055418A"/>
    <w:rsid w:val="00556F37"/>
    <w:rsid w:val="005610AE"/>
    <w:rsid w:val="00571408"/>
    <w:rsid w:val="00573C81"/>
    <w:rsid w:val="005826D8"/>
    <w:rsid w:val="005828FA"/>
    <w:rsid w:val="00583706"/>
    <w:rsid w:val="00584E88"/>
    <w:rsid w:val="00591DE4"/>
    <w:rsid w:val="00593235"/>
    <w:rsid w:val="0059703A"/>
    <w:rsid w:val="005A042E"/>
    <w:rsid w:val="005A1B0C"/>
    <w:rsid w:val="005B10CA"/>
    <w:rsid w:val="005B29A7"/>
    <w:rsid w:val="005C3088"/>
    <w:rsid w:val="005C4229"/>
    <w:rsid w:val="005C5077"/>
    <w:rsid w:val="005C7AD4"/>
    <w:rsid w:val="005C7B8E"/>
    <w:rsid w:val="005D0947"/>
    <w:rsid w:val="005D6F90"/>
    <w:rsid w:val="005E5B79"/>
    <w:rsid w:val="005E6D99"/>
    <w:rsid w:val="005F0D25"/>
    <w:rsid w:val="005F16CD"/>
    <w:rsid w:val="005F2675"/>
    <w:rsid w:val="005F5448"/>
    <w:rsid w:val="005F5BDB"/>
    <w:rsid w:val="005F79D4"/>
    <w:rsid w:val="00607FFC"/>
    <w:rsid w:val="00610A57"/>
    <w:rsid w:val="0061368B"/>
    <w:rsid w:val="0061759C"/>
    <w:rsid w:val="006220AA"/>
    <w:rsid w:val="00630311"/>
    <w:rsid w:val="00634041"/>
    <w:rsid w:val="006403B5"/>
    <w:rsid w:val="006449CA"/>
    <w:rsid w:val="00647544"/>
    <w:rsid w:val="00650B2C"/>
    <w:rsid w:val="00657F15"/>
    <w:rsid w:val="006600D9"/>
    <w:rsid w:val="00661B69"/>
    <w:rsid w:val="00664799"/>
    <w:rsid w:val="00676203"/>
    <w:rsid w:val="00677DEC"/>
    <w:rsid w:val="00677F94"/>
    <w:rsid w:val="00681348"/>
    <w:rsid w:val="00682022"/>
    <w:rsid w:val="006906C7"/>
    <w:rsid w:val="006921BB"/>
    <w:rsid w:val="006A1C44"/>
    <w:rsid w:val="006A2BA8"/>
    <w:rsid w:val="006A36E3"/>
    <w:rsid w:val="006A6E95"/>
    <w:rsid w:val="006B7142"/>
    <w:rsid w:val="006C3204"/>
    <w:rsid w:val="006D0105"/>
    <w:rsid w:val="006D2D1C"/>
    <w:rsid w:val="006D453F"/>
    <w:rsid w:val="006D629D"/>
    <w:rsid w:val="006D6DDE"/>
    <w:rsid w:val="006E3EDF"/>
    <w:rsid w:val="006E4127"/>
    <w:rsid w:val="006E64F1"/>
    <w:rsid w:val="00705A74"/>
    <w:rsid w:val="00707300"/>
    <w:rsid w:val="0071020A"/>
    <w:rsid w:val="007109BA"/>
    <w:rsid w:val="007118A3"/>
    <w:rsid w:val="007121C1"/>
    <w:rsid w:val="00712525"/>
    <w:rsid w:val="0072074B"/>
    <w:rsid w:val="007245DC"/>
    <w:rsid w:val="007261E7"/>
    <w:rsid w:val="00730A6B"/>
    <w:rsid w:val="00732817"/>
    <w:rsid w:val="00736291"/>
    <w:rsid w:val="00747EC8"/>
    <w:rsid w:val="00765593"/>
    <w:rsid w:val="007753B7"/>
    <w:rsid w:val="007766BB"/>
    <w:rsid w:val="00777FDC"/>
    <w:rsid w:val="00780413"/>
    <w:rsid w:val="007810EE"/>
    <w:rsid w:val="0078271E"/>
    <w:rsid w:val="0078285F"/>
    <w:rsid w:val="00784893"/>
    <w:rsid w:val="00794861"/>
    <w:rsid w:val="007A173B"/>
    <w:rsid w:val="007A485B"/>
    <w:rsid w:val="007B050F"/>
    <w:rsid w:val="007B09BD"/>
    <w:rsid w:val="007B1028"/>
    <w:rsid w:val="007B5920"/>
    <w:rsid w:val="007B6F37"/>
    <w:rsid w:val="007C4147"/>
    <w:rsid w:val="007D07CE"/>
    <w:rsid w:val="007D41F4"/>
    <w:rsid w:val="007D53CD"/>
    <w:rsid w:val="007E6F62"/>
    <w:rsid w:val="007F1137"/>
    <w:rsid w:val="007F2521"/>
    <w:rsid w:val="007F400F"/>
    <w:rsid w:val="00802A00"/>
    <w:rsid w:val="00806328"/>
    <w:rsid w:val="00820D91"/>
    <w:rsid w:val="00826869"/>
    <w:rsid w:val="008348B6"/>
    <w:rsid w:val="00834AED"/>
    <w:rsid w:val="0083660A"/>
    <w:rsid w:val="008379A7"/>
    <w:rsid w:val="00846060"/>
    <w:rsid w:val="00846FD9"/>
    <w:rsid w:val="0084748A"/>
    <w:rsid w:val="008477E0"/>
    <w:rsid w:val="008507BF"/>
    <w:rsid w:val="00850CF4"/>
    <w:rsid w:val="0086142E"/>
    <w:rsid w:val="00865E16"/>
    <w:rsid w:val="00870761"/>
    <w:rsid w:val="008740F9"/>
    <w:rsid w:val="00876C91"/>
    <w:rsid w:val="008777EC"/>
    <w:rsid w:val="008800C1"/>
    <w:rsid w:val="00880A03"/>
    <w:rsid w:val="00881C25"/>
    <w:rsid w:val="008828F6"/>
    <w:rsid w:val="00882B25"/>
    <w:rsid w:val="00884752"/>
    <w:rsid w:val="008866F0"/>
    <w:rsid w:val="00895411"/>
    <w:rsid w:val="00897062"/>
    <w:rsid w:val="008A04BB"/>
    <w:rsid w:val="008A7E0C"/>
    <w:rsid w:val="008B753B"/>
    <w:rsid w:val="008C1174"/>
    <w:rsid w:val="008C1DD5"/>
    <w:rsid w:val="008C34FC"/>
    <w:rsid w:val="008D061C"/>
    <w:rsid w:val="008D13D2"/>
    <w:rsid w:val="008D467E"/>
    <w:rsid w:val="008E227E"/>
    <w:rsid w:val="008E3E46"/>
    <w:rsid w:val="008F1368"/>
    <w:rsid w:val="008F34D4"/>
    <w:rsid w:val="00900B6D"/>
    <w:rsid w:val="00905444"/>
    <w:rsid w:val="00905D75"/>
    <w:rsid w:val="0091160F"/>
    <w:rsid w:val="009126A8"/>
    <w:rsid w:val="00921E28"/>
    <w:rsid w:val="009233DF"/>
    <w:rsid w:val="00924004"/>
    <w:rsid w:val="00930208"/>
    <w:rsid w:val="00931C69"/>
    <w:rsid w:val="009450A5"/>
    <w:rsid w:val="00951E43"/>
    <w:rsid w:val="00983C5B"/>
    <w:rsid w:val="00985FB4"/>
    <w:rsid w:val="009875FF"/>
    <w:rsid w:val="00992066"/>
    <w:rsid w:val="00995E79"/>
    <w:rsid w:val="009A24BE"/>
    <w:rsid w:val="009A33DC"/>
    <w:rsid w:val="009A3D4A"/>
    <w:rsid w:val="009A5B09"/>
    <w:rsid w:val="009A79B3"/>
    <w:rsid w:val="009B355B"/>
    <w:rsid w:val="009C1EB2"/>
    <w:rsid w:val="009C216E"/>
    <w:rsid w:val="009C2FF9"/>
    <w:rsid w:val="009C3A3C"/>
    <w:rsid w:val="009C4D88"/>
    <w:rsid w:val="009C7A19"/>
    <w:rsid w:val="009E49DE"/>
    <w:rsid w:val="009F2C10"/>
    <w:rsid w:val="009F45AC"/>
    <w:rsid w:val="009F6A24"/>
    <w:rsid w:val="00A12B2E"/>
    <w:rsid w:val="00A136E4"/>
    <w:rsid w:val="00A1433E"/>
    <w:rsid w:val="00A24DA8"/>
    <w:rsid w:val="00A25E3B"/>
    <w:rsid w:val="00A321A6"/>
    <w:rsid w:val="00A32388"/>
    <w:rsid w:val="00A3513A"/>
    <w:rsid w:val="00A41CC5"/>
    <w:rsid w:val="00A477C7"/>
    <w:rsid w:val="00A47805"/>
    <w:rsid w:val="00A503B9"/>
    <w:rsid w:val="00A5227D"/>
    <w:rsid w:val="00A56DB3"/>
    <w:rsid w:val="00A671B3"/>
    <w:rsid w:val="00A72470"/>
    <w:rsid w:val="00A74536"/>
    <w:rsid w:val="00A772B6"/>
    <w:rsid w:val="00A852BF"/>
    <w:rsid w:val="00A91772"/>
    <w:rsid w:val="00A95D7D"/>
    <w:rsid w:val="00A97771"/>
    <w:rsid w:val="00AA394A"/>
    <w:rsid w:val="00AC0127"/>
    <w:rsid w:val="00AD62DD"/>
    <w:rsid w:val="00AE2ED6"/>
    <w:rsid w:val="00AE4621"/>
    <w:rsid w:val="00AF2CFB"/>
    <w:rsid w:val="00B0456A"/>
    <w:rsid w:val="00B11A90"/>
    <w:rsid w:val="00B14011"/>
    <w:rsid w:val="00B14D19"/>
    <w:rsid w:val="00B217BF"/>
    <w:rsid w:val="00B31046"/>
    <w:rsid w:val="00B34E81"/>
    <w:rsid w:val="00B37053"/>
    <w:rsid w:val="00B40D95"/>
    <w:rsid w:val="00B46FDC"/>
    <w:rsid w:val="00B47229"/>
    <w:rsid w:val="00B56F17"/>
    <w:rsid w:val="00B56FD7"/>
    <w:rsid w:val="00B75EA1"/>
    <w:rsid w:val="00B95274"/>
    <w:rsid w:val="00B971DF"/>
    <w:rsid w:val="00BA073F"/>
    <w:rsid w:val="00BA7B1B"/>
    <w:rsid w:val="00BB3F2F"/>
    <w:rsid w:val="00BB6DDA"/>
    <w:rsid w:val="00BC01F8"/>
    <w:rsid w:val="00BC5BF7"/>
    <w:rsid w:val="00BC626C"/>
    <w:rsid w:val="00BD16AD"/>
    <w:rsid w:val="00BD3011"/>
    <w:rsid w:val="00BD54EB"/>
    <w:rsid w:val="00BD6034"/>
    <w:rsid w:val="00BD6A99"/>
    <w:rsid w:val="00BE2CD9"/>
    <w:rsid w:val="00BE2FBB"/>
    <w:rsid w:val="00BE38DB"/>
    <w:rsid w:val="00BE6226"/>
    <w:rsid w:val="00BE6BC5"/>
    <w:rsid w:val="00BF155A"/>
    <w:rsid w:val="00BF1BDE"/>
    <w:rsid w:val="00BF53DB"/>
    <w:rsid w:val="00C00ADD"/>
    <w:rsid w:val="00C034AA"/>
    <w:rsid w:val="00C04532"/>
    <w:rsid w:val="00C115C8"/>
    <w:rsid w:val="00C16CA8"/>
    <w:rsid w:val="00C2378E"/>
    <w:rsid w:val="00C253B1"/>
    <w:rsid w:val="00C36C3B"/>
    <w:rsid w:val="00C44382"/>
    <w:rsid w:val="00C46CF5"/>
    <w:rsid w:val="00C520FE"/>
    <w:rsid w:val="00C5383B"/>
    <w:rsid w:val="00C66729"/>
    <w:rsid w:val="00C730D2"/>
    <w:rsid w:val="00C8277C"/>
    <w:rsid w:val="00C848A2"/>
    <w:rsid w:val="00C87055"/>
    <w:rsid w:val="00C943A1"/>
    <w:rsid w:val="00C94516"/>
    <w:rsid w:val="00CA26B0"/>
    <w:rsid w:val="00CA45AC"/>
    <w:rsid w:val="00CA5AB9"/>
    <w:rsid w:val="00CB186E"/>
    <w:rsid w:val="00CB5698"/>
    <w:rsid w:val="00CC7DA7"/>
    <w:rsid w:val="00CD4023"/>
    <w:rsid w:val="00CD46BC"/>
    <w:rsid w:val="00CD678A"/>
    <w:rsid w:val="00CE5FD1"/>
    <w:rsid w:val="00CE6BA4"/>
    <w:rsid w:val="00CF256F"/>
    <w:rsid w:val="00CF5FBD"/>
    <w:rsid w:val="00D02507"/>
    <w:rsid w:val="00D026A4"/>
    <w:rsid w:val="00D06021"/>
    <w:rsid w:val="00D13670"/>
    <w:rsid w:val="00D1587B"/>
    <w:rsid w:val="00D24D6E"/>
    <w:rsid w:val="00D31E34"/>
    <w:rsid w:val="00D34F7A"/>
    <w:rsid w:val="00D3507B"/>
    <w:rsid w:val="00D42A6F"/>
    <w:rsid w:val="00D55261"/>
    <w:rsid w:val="00D577C7"/>
    <w:rsid w:val="00D715A1"/>
    <w:rsid w:val="00D766CD"/>
    <w:rsid w:val="00D80511"/>
    <w:rsid w:val="00D839C1"/>
    <w:rsid w:val="00D85A2C"/>
    <w:rsid w:val="00D92706"/>
    <w:rsid w:val="00D92F06"/>
    <w:rsid w:val="00DA44BF"/>
    <w:rsid w:val="00DB1F73"/>
    <w:rsid w:val="00DB673C"/>
    <w:rsid w:val="00DC4353"/>
    <w:rsid w:val="00DC467A"/>
    <w:rsid w:val="00DC64F4"/>
    <w:rsid w:val="00DD1562"/>
    <w:rsid w:val="00DE1C57"/>
    <w:rsid w:val="00DE3859"/>
    <w:rsid w:val="00DE5528"/>
    <w:rsid w:val="00DE6E77"/>
    <w:rsid w:val="00DF0010"/>
    <w:rsid w:val="00DF3879"/>
    <w:rsid w:val="00DF5B2C"/>
    <w:rsid w:val="00DF73CD"/>
    <w:rsid w:val="00DF75A5"/>
    <w:rsid w:val="00E002DE"/>
    <w:rsid w:val="00E04FE2"/>
    <w:rsid w:val="00E13F6B"/>
    <w:rsid w:val="00E17ECD"/>
    <w:rsid w:val="00E21727"/>
    <w:rsid w:val="00E222FF"/>
    <w:rsid w:val="00E24E39"/>
    <w:rsid w:val="00E32D50"/>
    <w:rsid w:val="00E33D1C"/>
    <w:rsid w:val="00E45ACA"/>
    <w:rsid w:val="00E6202F"/>
    <w:rsid w:val="00E626D5"/>
    <w:rsid w:val="00E64CE9"/>
    <w:rsid w:val="00E84540"/>
    <w:rsid w:val="00EA1FEA"/>
    <w:rsid w:val="00EA26E1"/>
    <w:rsid w:val="00EA6F3C"/>
    <w:rsid w:val="00EB6C42"/>
    <w:rsid w:val="00EC057C"/>
    <w:rsid w:val="00EC1680"/>
    <w:rsid w:val="00EC2E61"/>
    <w:rsid w:val="00EC3DD9"/>
    <w:rsid w:val="00EC68F3"/>
    <w:rsid w:val="00ED68E2"/>
    <w:rsid w:val="00EE000D"/>
    <w:rsid w:val="00EE5C4A"/>
    <w:rsid w:val="00EF4B08"/>
    <w:rsid w:val="00EF60B7"/>
    <w:rsid w:val="00EF69BB"/>
    <w:rsid w:val="00EF7237"/>
    <w:rsid w:val="00F05783"/>
    <w:rsid w:val="00F2377D"/>
    <w:rsid w:val="00F240BE"/>
    <w:rsid w:val="00F4277A"/>
    <w:rsid w:val="00F50F8D"/>
    <w:rsid w:val="00F60AAD"/>
    <w:rsid w:val="00F66CCC"/>
    <w:rsid w:val="00F72DF7"/>
    <w:rsid w:val="00F73128"/>
    <w:rsid w:val="00F857EC"/>
    <w:rsid w:val="00F9287A"/>
    <w:rsid w:val="00F92B7F"/>
    <w:rsid w:val="00F932FC"/>
    <w:rsid w:val="00F95880"/>
    <w:rsid w:val="00F96929"/>
    <w:rsid w:val="00F96EE7"/>
    <w:rsid w:val="00F96F56"/>
    <w:rsid w:val="00FA0808"/>
    <w:rsid w:val="00FA0FE6"/>
    <w:rsid w:val="00FA1906"/>
    <w:rsid w:val="00FA30B4"/>
    <w:rsid w:val="00FA41E5"/>
    <w:rsid w:val="00FB4EBD"/>
    <w:rsid w:val="00FC18F7"/>
    <w:rsid w:val="00FC5A5A"/>
    <w:rsid w:val="00FC6AD9"/>
    <w:rsid w:val="00FC7973"/>
    <w:rsid w:val="00FD5054"/>
    <w:rsid w:val="00FD55B1"/>
    <w:rsid w:val="00FF26BC"/>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422612"/>
  <w15:docId w15:val="{253EFBAA-FC01-44E5-B6FA-BC42D5F92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aliases w:val="Stinking Styles6,Marque de commentaire1,Verwijzing opmerking,Merknadsreferanse,Rimando commento"/>
    <w:basedOn w:val="DefaultParagraphFont"/>
    <w:uiPriority w:val="99"/>
    <w:unhideWhenUsed/>
    <w:rsid w:val="003E2D52"/>
    <w:rPr>
      <w:sz w:val="16"/>
      <w:szCs w:val="16"/>
    </w:rPr>
  </w:style>
  <w:style w:type="paragraph" w:styleId="CommentText">
    <w:name w:val="annotation text"/>
    <w:basedOn w:val="Normal"/>
    <w:link w:val="CommentTextChar"/>
    <w:uiPriority w:val="99"/>
    <w:unhideWhenUsed/>
    <w:rsid w:val="003E2D52"/>
    <w:pPr>
      <w:spacing w:line="240" w:lineRule="auto"/>
    </w:pPr>
    <w:rPr>
      <w:sz w:val="20"/>
      <w:szCs w:val="20"/>
    </w:rPr>
  </w:style>
  <w:style w:type="character" w:customStyle="1" w:styleId="CommentTextChar">
    <w:name w:val="Comment Text Char"/>
    <w:basedOn w:val="DefaultParagraphFont"/>
    <w:link w:val="CommentText"/>
    <w:uiPriority w:val="99"/>
    <w:rsid w:val="003E2D52"/>
    <w:rPr>
      <w:sz w:val="20"/>
      <w:szCs w:val="20"/>
    </w:rPr>
  </w:style>
  <w:style w:type="paragraph" w:styleId="CommentSubject">
    <w:name w:val="annotation subject"/>
    <w:basedOn w:val="CommentText"/>
    <w:next w:val="CommentText"/>
    <w:link w:val="CommentSubjectChar"/>
    <w:uiPriority w:val="99"/>
    <w:semiHidden/>
    <w:unhideWhenUsed/>
    <w:rsid w:val="003E2D52"/>
    <w:rPr>
      <w:b/>
      <w:bCs/>
    </w:rPr>
  </w:style>
  <w:style w:type="character" w:customStyle="1" w:styleId="CommentSubjectChar">
    <w:name w:val="Comment Subject Char"/>
    <w:basedOn w:val="CommentTextChar"/>
    <w:link w:val="CommentSubject"/>
    <w:uiPriority w:val="99"/>
    <w:semiHidden/>
    <w:rsid w:val="003E2D52"/>
    <w:rPr>
      <w:b/>
      <w:bCs/>
      <w:sz w:val="20"/>
      <w:szCs w:val="20"/>
    </w:rPr>
  </w:style>
  <w:style w:type="paragraph" w:styleId="BalloonText">
    <w:name w:val="Balloon Text"/>
    <w:basedOn w:val="Normal"/>
    <w:link w:val="BalloonTextChar"/>
    <w:uiPriority w:val="99"/>
    <w:semiHidden/>
    <w:unhideWhenUsed/>
    <w:rsid w:val="003E2D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D52"/>
    <w:rPr>
      <w:rFonts w:ascii="Segoe UI" w:hAnsi="Segoe UI" w:cs="Segoe UI"/>
      <w:sz w:val="18"/>
      <w:szCs w:val="18"/>
    </w:rPr>
  </w:style>
  <w:style w:type="paragraph" w:styleId="ListParagraph">
    <w:name w:val="List Paragraph"/>
    <w:aliases w:val="Bullet list,Colorful List - Accent 11,Liste Niveau 1,EG Bullet 1,F List Paragraph"/>
    <w:basedOn w:val="Normal"/>
    <w:link w:val="ListParagraphChar"/>
    <w:uiPriority w:val="34"/>
    <w:qFormat/>
    <w:rsid w:val="00203005"/>
    <w:pPr>
      <w:ind w:left="720"/>
      <w:contextualSpacing/>
    </w:pPr>
  </w:style>
  <w:style w:type="table" w:styleId="TableGrid">
    <w:name w:val="Table Grid"/>
    <w:basedOn w:val="TableNormal"/>
    <w:uiPriority w:val="39"/>
    <w:rsid w:val="00341C6A"/>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Βασικό Λίστα 123"/>
    <w:basedOn w:val="NoList"/>
    <w:rsid w:val="006E64F1"/>
    <w:pPr>
      <w:numPr>
        <w:numId w:val="2"/>
      </w:numPr>
    </w:pPr>
  </w:style>
  <w:style w:type="paragraph" w:customStyle="1" w:styleId="1">
    <w:name w:val="Βασικό Προεξοχή 1"/>
    <w:basedOn w:val="Normal"/>
    <w:rsid w:val="006E64F1"/>
    <w:pPr>
      <w:tabs>
        <w:tab w:val="left" w:pos="851"/>
      </w:tabs>
      <w:kinsoku w:val="0"/>
      <w:overflowPunct w:val="0"/>
      <w:autoSpaceDE w:val="0"/>
      <w:autoSpaceDN w:val="0"/>
      <w:spacing w:before="60" w:after="0" w:line="240" w:lineRule="auto"/>
      <w:ind w:left="850" w:hanging="425"/>
      <w:jc w:val="both"/>
    </w:pPr>
    <w:rPr>
      <w:rFonts w:ascii="Times New Roman" w:eastAsia="Arial Unicode MS" w:hAnsi="Times New Roman" w:cs="Andalus"/>
      <w:sz w:val="24"/>
      <w:szCs w:val="20"/>
    </w:rPr>
  </w:style>
  <w:style w:type="paragraph" w:customStyle="1" w:styleId="1Char">
    <w:name w:val="Στυλ Αριθμ.1 Char"/>
    <w:basedOn w:val="BodyText"/>
    <w:link w:val="1CharChar2"/>
    <w:rsid w:val="00CE6BA4"/>
    <w:pPr>
      <w:spacing w:line="240" w:lineRule="auto"/>
      <w:jc w:val="both"/>
    </w:pPr>
    <w:rPr>
      <w:rFonts w:ascii="Times New Roman" w:eastAsia="Times New Roman" w:hAnsi="Times New Roman" w:cs="Times New Roman"/>
      <w:sz w:val="24"/>
      <w:szCs w:val="20"/>
      <w:lang w:eastAsia="el-GR"/>
    </w:rPr>
  </w:style>
  <w:style w:type="character" w:customStyle="1" w:styleId="1CharChar2">
    <w:name w:val="Στυλ Αριθμ.1 Char Char2"/>
    <w:basedOn w:val="BodyTextChar"/>
    <w:link w:val="1Char"/>
    <w:rsid w:val="00CE6BA4"/>
    <w:rPr>
      <w:rFonts w:ascii="Times New Roman" w:eastAsia="Times New Roman" w:hAnsi="Times New Roman" w:cs="Times New Roman"/>
      <w:sz w:val="24"/>
      <w:szCs w:val="20"/>
      <w:lang w:eastAsia="el-GR"/>
    </w:rPr>
  </w:style>
  <w:style w:type="paragraph" w:styleId="BodyText">
    <w:name w:val="Body Text"/>
    <w:basedOn w:val="Normal"/>
    <w:link w:val="BodyTextChar"/>
    <w:uiPriority w:val="99"/>
    <w:semiHidden/>
    <w:unhideWhenUsed/>
    <w:rsid w:val="00CE6BA4"/>
    <w:pPr>
      <w:spacing w:after="120"/>
    </w:pPr>
  </w:style>
  <w:style w:type="character" w:customStyle="1" w:styleId="BodyTextChar">
    <w:name w:val="Body Text Char"/>
    <w:basedOn w:val="DefaultParagraphFont"/>
    <w:link w:val="BodyText"/>
    <w:uiPriority w:val="99"/>
    <w:semiHidden/>
    <w:rsid w:val="00CE6BA4"/>
  </w:style>
  <w:style w:type="paragraph" w:customStyle="1" w:styleId="a">
    <w:name w:val="ΕΓΧ Κείμενο"/>
    <w:basedOn w:val="Normal"/>
    <w:link w:val="Char"/>
    <w:rsid w:val="00FA30B4"/>
    <w:pPr>
      <w:spacing w:before="120" w:after="120" w:line="240" w:lineRule="auto"/>
      <w:jc w:val="both"/>
    </w:pPr>
    <w:rPr>
      <w:rFonts w:ascii="Arial" w:eastAsia="Times New Roman" w:hAnsi="Arial" w:cs="Times New Roman"/>
      <w:sz w:val="24"/>
      <w:szCs w:val="20"/>
    </w:rPr>
  </w:style>
  <w:style w:type="character" w:customStyle="1" w:styleId="Char">
    <w:name w:val="ΕΓΧ Κείμενο Char"/>
    <w:link w:val="a"/>
    <w:locked/>
    <w:rsid w:val="00FA30B4"/>
    <w:rPr>
      <w:rFonts w:ascii="Arial" w:eastAsia="Times New Roman" w:hAnsi="Arial" w:cs="Times New Roman"/>
      <w:sz w:val="24"/>
      <w:szCs w:val="20"/>
    </w:rPr>
  </w:style>
  <w:style w:type="character" w:customStyle="1" w:styleId="ListParagraphChar">
    <w:name w:val="List Paragraph Char"/>
    <w:aliases w:val="Bullet list Char,Colorful List - Accent 11 Char,Liste Niveau 1 Char,EG Bullet 1 Char,F List Paragraph Char"/>
    <w:basedOn w:val="DefaultParagraphFont"/>
    <w:link w:val="ListParagraph"/>
    <w:uiPriority w:val="34"/>
    <w:rsid w:val="008800C1"/>
  </w:style>
  <w:style w:type="paragraph" w:styleId="Header">
    <w:name w:val="header"/>
    <w:basedOn w:val="Normal"/>
    <w:link w:val="HeaderChar"/>
    <w:uiPriority w:val="99"/>
    <w:unhideWhenUsed/>
    <w:rsid w:val="007A17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7A173B"/>
  </w:style>
  <w:style w:type="paragraph" w:styleId="Footer">
    <w:name w:val="footer"/>
    <w:basedOn w:val="Normal"/>
    <w:link w:val="FooterChar"/>
    <w:uiPriority w:val="99"/>
    <w:unhideWhenUsed/>
    <w:rsid w:val="007A17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7A173B"/>
  </w:style>
  <w:style w:type="paragraph" w:styleId="Revision">
    <w:name w:val="Revision"/>
    <w:hidden/>
    <w:uiPriority w:val="99"/>
    <w:semiHidden/>
    <w:rsid w:val="0053268C"/>
    <w:pPr>
      <w:spacing w:after="0" w:line="240" w:lineRule="auto"/>
    </w:pPr>
  </w:style>
  <w:style w:type="paragraph" w:styleId="HTMLPreformatted">
    <w:name w:val="HTML Preformatted"/>
    <w:basedOn w:val="Normal"/>
    <w:link w:val="HTMLPreformattedChar"/>
    <w:uiPriority w:val="99"/>
    <w:semiHidden/>
    <w:unhideWhenUsed/>
    <w:rsid w:val="00094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semiHidden/>
    <w:rsid w:val="00094875"/>
    <w:rPr>
      <w:rFonts w:ascii="Courier New" w:eastAsia="Times New Roman" w:hAnsi="Courier New" w:cs="Courier New"/>
      <w:sz w:val="20"/>
      <w:szCs w:val="20"/>
      <w:lang w:eastAsia="el-GR"/>
    </w:rPr>
  </w:style>
  <w:style w:type="paragraph" w:styleId="NormalWeb">
    <w:name w:val="Normal (Web)"/>
    <w:basedOn w:val="Normal"/>
    <w:uiPriority w:val="99"/>
    <w:semiHidden/>
    <w:unhideWhenUsed/>
    <w:rsid w:val="00D31E34"/>
    <w:pPr>
      <w:spacing w:before="100" w:beforeAutospacing="1" w:after="100" w:afterAutospacing="1" w:line="240" w:lineRule="auto"/>
    </w:pPr>
    <w:rPr>
      <w:rFonts w:ascii="Times New Roman" w:hAnsi="Times New Roman" w:cs="Times New Roman"/>
      <w:sz w:val="20"/>
      <w:szCs w:val="20"/>
      <w:lang w:val="en-US"/>
    </w:rPr>
  </w:style>
  <w:style w:type="paragraph" w:customStyle="1" w:styleId="Default">
    <w:name w:val="Default"/>
    <w:rsid w:val="00D06021"/>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52152">
      <w:bodyDiv w:val="1"/>
      <w:marLeft w:val="0"/>
      <w:marRight w:val="0"/>
      <w:marTop w:val="0"/>
      <w:marBottom w:val="0"/>
      <w:divBdr>
        <w:top w:val="none" w:sz="0" w:space="0" w:color="auto"/>
        <w:left w:val="none" w:sz="0" w:space="0" w:color="auto"/>
        <w:bottom w:val="none" w:sz="0" w:space="0" w:color="auto"/>
        <w:right w:val="none" w:sz="0" w:space="0" w:color="auto"/>
      </w:divBdr>
      <w:divsChild>
        <w:div w:id="787705710">
          <w:marLeft w:val="0"/>
          <w:marRight w:val="0"/>
          <w:marTop w:val="0"/>
          <w:marBottom w:val="0"/>
          <w:divBdr>
            <w:top w:val="none" w:sz="0" w:space="0" w:color="auto"/>
            <w:left w:val="none" w:sz="0" w:space="0" w:color="auto"/>
            <w:bottom w:val="none" w:sz="0" w:space="0" w:color="auto"/>
            <w:right w:val="none" w:sz="0" w:space="0" w:color="auto"/>
          </w:divBdr>
          <w:divsChild>
            <w:div w:id="1205411543">
              <w:marLeft w:val="0"/>
              <w:marRight w:val="0"/>
              <w:marTop w:val="0"/>
              <w:marBottom w:val="0"/>
              <w:divBdr>
                <w:top w:val="none" w:sz="0" w:space="0" w:color="auto"/>
                <w:left w:val="none" w:sz="0" w:space="0" w:color="auto"/>
                <w:bottom w:val="none" w:sz="0" w:space="0" w:color="auto"/>
                <w:right w:val="none" w:sz="0" w:space="0" w:color="auto"/>
              </w:divBdr>
              <w:divsChild>
                <w:div w:id="4687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3262">
      <w:bodyDiv w:val="1"/>
      <w:marLeft w:val="0"/>
      <w:marRight w:val="0"/>
      <w:marTop w:val="0"/>
      <w:marBottom w:val="0"/>
      <w:divBdr>
        <w:top w:val="none" w:sz="0" w:space="0" w:color="auto"/>
        <w:left w:val="none" w:sz="0" w:space="0" w:color="auto"/>
        <w:bottom w:val="none" w:sz="0" w:space="0" w:color="auto"/>
        <w:right w:val="none" w:sz="0" w:space="0" w:color="auto"/>
      </w:divBdr>
      <w:divsChild>
        <w:div w:id="1541168828">
          <w:marLeft w:val="0"/>
          <w:marRight w:val="0"/>
          <w:marTop w:val="0"/>
          <w:marBottom w:val="0"/>
          <w:divBdr>
            <w:top w:val="none" w:sz="0" w:space="0" w:color="auto"/>
            <w:left w:val="none" w:sz="0" w:space="0" w:color="auto"/>
            <w:bottom w:val="none" w:sz="0" w:space="0" w:color="auto"/>
            <w:right w:val="none" w:sz="0" w:space="0" w:color="auto"/>
          </w:divBdr>
          <w:divsChild>
            <w:div w:id="534774032">
              <w:marLeft w:val="0"/>
              <w:marRight w:val="0"/>
              <w:marTop w:val="0"/>
              <w:marBottom w:val="0"/>
              <w:divBdr>
                <w:top w:val="none" w:sz="0" w:space="0" w:color="auto"/>
                <w:left w:val="none" w:sz="0" w:space="0" w:color="auto"/>
                <w:bottom w:val="none" w:sz="0" w:space="0" w:color="auto"/>
                <w:right w:val="none" w:sz="0" w:space="0" w:color="auto"/>
              </w:divBdr>
              <w:divsChild>
                <w:div w:id="22429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392645">
      <w:bodyDiv w:val="1"/>
      <w:marLeft w:val="0"/>
      <w:marRight w:val="0"/>
      <w:marTop w:val="0"/>
      <w:marBottom w:val="0"/>
      <w:divBdr>
        <w:top w:val="none" w:sz="0" w:space="0" w:color="auto"/>
        <w:left w:val="none" w:sz="0" w:space="0" w:color="auto"/>
        <w:bottom w:val="none" w:sz="0" w:space="0" w:color="auto"/>
        <w:right w:val="none" w:sz="0" w:space="0" w:color="auto"/>
      </w:divBdr>
      <w:divsChild>
        <w:div w:id="1815293169">
          <w:marLeft w:val="0"/>
          <w:marRight w:val="0"/>
          <w:marTop w:val="0"/>
          <w:marBottom w:val="0"/>
          <w:divBdr>
            <w:top w:val="none" w:sz="0" w:space="0" w:color="auto"/>
            <w:left w:val="none" w:sz="0" w:space="0" w:color="auto"/>
            <w:bottom w:val="none" w:sz="0" w:space="0" w:color="auto"/>
            <w:right w:val="none" w:sz="0" w:space="0" w:color="auto"/>
          </w:divBdr>
          <w:divsChild>
            <w:div w:id="1617524120">
              <w:marLeft w:val="0"/>
              <w:marRight w:val="0"/>
              <w:marTop w:val="0"/>
              <w:marBottom w:val="0"/>
              <w:divBdr>
                <w:top w:val="none" w:sz="0" w:space="0" w:color="auto"/>
                <w:left w:val="none" w:sz="0" w:space="0" w:color="auto"/>
                <w:bottom w:val="none" w:sz="0" w:space="0" w:color="auto"/>
                <w:right w:val="none" w:sz="0" w:space="0" w:color="auto"/>
              </w:divBdr>
              <w:divsChild>
                <w:div w:id="62497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25277">
      <w:bodyDiv w:val="1"/>
      <w:marLeft w:val="0"/>
      <w:marRight w:val="0"/>
      <w:marTop w:val="0"/>
      <w:marBottom w:val="0"/>
      <w:divBdr>
        <w:top w:val="none" w:sz="0" w:space="0" w:color="auto"/>
        <w:left w:val="none" w:sz="0" w:space="0" w:color="auto"/>
        <w:bottom w:val="none" w:sz="0" w:space="0" w:color="auto"/>
        <w:right w:val="none" w:sz="0" w:space="0" w:color="auto"/>
      </w:divBdr>
      <w:divsChild>
        <w:div w:id="1793791365">
          <w:marLeft w:val="0"/>
          <w:marRight w:val="0"/>
          <w:marTop w:val="0"/>
          <w:marBottom w:val="0"/>
          <w:divBdr>
            <w:top w:val="none" w:sz="0" w:space="0" w:color="auto"/>
            <w:left w:val="none" w:sz="0" w:space="0" w:color="auto"/>
            <w:bottom w:val="none" w:sz="0" w:space="0" w:color="auto"/>
            <w:right w:val="none" w:sz="0" w:space="0" w:color="auto"/>
          </w:divBdr>
          <w:divsChild>
            <w:div w:id="1379477885">
              <w:marLeft w:val="0"/>
              <w:marRight w:val="0"/>
              <w:marTop w:val="0"/>
              <w:marBottom w:val="0"/>
              <w:divBdr>
                <w:top w:val="none" w:sz="0" w:space="0" w:color="auto"/>
                <w:left w:val="none" w:sz="0" w:space="0" w:color="auto"/>
                <w:bottom w:val="none" w:sz="0" w:space="0" w:color="auto"/>
                <w:right w:val="none" w:sz="0" w:space="0" w:color="auto"/>
              </w:divBdr>
              <w:divsChild>
                <w:div w:id="1593009308">
                  <w:marLeft w:val="0"/>
                  <w:marRight w:val="0"/>
                  <w:marTop w:val="0"/>
                  <w:marBottom w:val="0"/>
                  <w:divBdr>
                    <w:top w:val="none" w:sz="0" w:space="0" w:color="auto"/>
                    <w:left w:val="none" w:sz="0" w:space="0" w:color="auto"/>
                    <w:bottom w:val="none" w:sz="0" w:space="0" w:color="auto"/>
                    <w:right w:val="none" w:sz="0" w:space="0" w:color="auto"/>
                  </w:divBdr>
                </w:div>
              </w:divsChild>
            </w:div>
            <w:div w:id="915092810">
              <w:marLeft w:val="0"/>
              <w:marRight w:val="0"/>
              <w:marTop w:val="0"/>
              <w:marBottom w:val="0"/>
              <w:divBdr>
                <w:top w:val="none" w:sz="0" w:space="0" w:color="auto"/>
                <w:left w:val="none" w:sz="0" w:space="0" w:color="auto"/>
                <w:bottom w:val="none" w:sz="0" w:space="0" w:color="auto"/>
                <w:right w:val="none" w:sz="0" w:space="0" w:color="auto"/>
              </w:divBdr>
              <w:divsChild>
                <w:div w:id="99984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22565">
          <w:marLeft w:val="0"/>
          <w:marRight w:val="0"/>
          <w:marTop w:val="0"/>
          <w:marBottom w:val="0"/>
          <w:divBdr>
            <w:top w:val="none" w:sz="0" w:space="0" w:color="auto"/>
            <w:left w:val="none" w:sz="0" w:space="0" w:color="auto"/>
            <w:bottom w:val="none" w:sz="0" w:space="0" w:color="auto"/>
            <w:right w:val="none" w:sz="0" w:space="0" w:color="auto"/>
          </w:divBdr>
          <w:divsChild>
            <w:div w:id="1177382007">
              <w:marLeft w:val="0"/>
              <w:marRight w:val="0"/>
              <w:marTop w:val="0"/>
              <w:marBottom w:val="0"/>
              <w:divBdr>
                <w:top w:val="none" w:sz="0" w:space="0" w:color="auto"/>
                <w:left w:val="none" w:sz="0" w:space="0" w:color="auto"/>
                <w:bottom w:val="none" w:sz="0" w:space="0" w:color="auto"/>
                <w:right w:val="none" w:sz="0" w:space="0" w:color="auto"/>
              </w:divBdr>
              <w:divsChild>
                <w:div w:id="170763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160431">
      <w:bodyDiv w:val="1"/>
      <w:marLeft w:val="0"/>
      <w:marRight w:val="0"/>
      <w:marTop w:val="0"/>
      <w:marBottom w:val="0"/>
      <w:divBdr>
        <w:top w:val="none" w:sz="0" w:space="0" w:color="auto"/>
        <w:left w:val="none" w:sz="0" w:space="0" w:color="auto"/>
        <w:bottom w:val="none" w:sz="0" w:space="0" w:color="auto"/>
        <w:right w:val="none" w:sz="0" w:space="0" w:color="auto"/>
      </w:divBdr>
    </w:div>
    <w:div w:id="1740203923">
      <w:bodyDiv w:val="1"/>
      <w:marLeft w:val="0"/>
      <w:marRight w:val="0"/>
      <w:marTop w:val="0"/>
      <w:marBottom w:val="0"/>
      <w:divBdr>
        <w:top w:val="none" w:sz="0" w:space="0" w:color="auto"/>
        <w:left w:val="none" w:sz="0" w:space="0" w:color="auto"/>
        <w:bottom w:val="none" w:sz="0" w:space="0" w:color="auto"/>
        <w:right w:val="none" w:sz="0" w:space="0" w:color="auto"/>
      </w:divBdr>
      <w:divsChild>
        <w:div w:id="1223831011">
          <w:marLeft w:val="0"/>
          <w:marRight w:val="0"/>
          <w:marTop w:val="0"/>
          <w:marBottom w:val="0"/>
          <w:divBdr>
            <w:top w:val="none" w:sz="0" w:space="0" w:color="auto"/>
            <w:left w:val="none" w:sz="0" w:space="0" w:color="auto"/>
            <w:bottom w:val="none" w:sz="0" w:space="0" w:color="auto"/>
            <w:right w:val="none" w:sz="0" w:space="0" w:color="auto"/>
          </w:divBdr>
          <w:divsChild>
            <w:div w:id="1491099880">
              <w:marLeft w:val="0"/>
              <w:marRight w:val="0"/>
              <w:marTop w:val="0"/>
              <w:marBottom w:val="0"/>
              <w:divBdr>
                <w:top w:val="none" w:sz="0" w:space="0" w:color="auto"/>
                <w:left w:val="none" w:sz="0" w:space="0" w:color="auto"/>
                <w:bottom w:val="none" w:sz="0" w:space="0" w:color="auto"/>
                <w:right w:val="none" w:sz="0" w:space="0" w:color="auto"/>
              </w:divBdr>
              <w:divsChild>
                <w:div w:id="123443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65125">
      <w:bodyDiv w:val="1"/>
      <w:marLeft w:val="0"/>
      <w:marRight w:val="0"/>
      <w:marTop w:val="0"/>
      <w:marBottom w:val="0"/>
      <w:divBdr>
        <w:top w:val="none" w:sz="0" w:space="0" w:color="auto"/>
        <w:left w:val="none" w:sz="0" w:space="0" w:color="auto"/>
        <w:bottom w:val="none" w:sz="0" w:space="0" w:color="auto"/>
        <w:right w:val="none" w:sz="0" w:space="0" w:color="auto"/>
      </w:divBdr>
    </w:div>
    <w:div w:id="190729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73B57-F3DB-4D01-99C1-FD0D77E17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3787</Words>
  <Characters>20454</Characters>
  <Application>Microsoft Office Word</Application>
  <DocSecurity>0</DocSecurity>
  <Lines>170</Lines>
  <Paragraphs>48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apapa</dc:creator>
  <cp:keywords/>
  <dc:description/>
  <cp:lastModifiedBy>Anastasia Papaioannou</cp:lastModifiedBy>
  <cp:revision>3</cp:revision>
  <cp:lastPrinted>2021-06-28T08:57:00Z</cp:lastPrinted>
  <dcterms:created xsi:type="dcterms:W3CDTF">2021-07-05T12:23:00Z</dcterms:created>
  <dcterms:modified xsi:type="dcterms:W3CDTF">2021-07-05T12:30:00Z</dcterms:modified>
</cp:coreProperties>
</file>