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0BE1" w14:textId="77777777" w:rsidR="00102FEB" w:rsidRPr="00EC2C20" w:rsidRDefault="0025491E" w:rsidP="00E705D5">
      <w:pPr>
        <w:jc w:val="center"/>
        <w:rPr>
          <w:b/>
          <w:sz w:val="28"/>
        </w:rPr>
      </w:pPr>
      <w:r>
        <w:rPr>
          <w:b/>
          <w:sz w:val="28"/>
        </w:rPr>
        <w:t>Πρόταση</w:t>
      </w:r>
      <w:r w:rsidR="00EC2C20" w:rsidRPr="00EC2C20">
        <w:rPr>
          <w:b/>
          <w:sz w:val="28"/>
        </w:rPr>
        <w:t xml:space="preserve"> ΔΕΔΔΗΕ για το ύψος Εγγυήσεων ΕΦ για το ΜΣΣ Κρήτης</w:t>
      </w:r>
    </w:p>
    <w:p w14:paraId="731AA9D3" w14:textId="40A5693A" w:rsidR="00F51F80" w:rsidRDefault="00EC2C20" w:rsidP="00F51F80">
      <w:pPr>
        <w:ind w:firstLine="567"/>
        <w:jc w:val="both"/>
      </w:pPr>
      <w:r>
        <w:t xml:space="preserve">Αναφορικά με τον υπολογισμό των εγγυήσεων των </w:t>
      </w:r>
      <w:r w:rsidR="007C6F10">
        <w:t>Εκπροσώπων Φορτίου (ΕΦ)</w:t>
      </w:r>
      <w:r>
        <w:t xml:space="preserve"> που </w:t>
      </w:r>
      <w:r w:rsidR="007C6F10">
        <w:t xml:space="preserve">θα </w:t>
      </w:r>
      <w:r>
        <w:t xml:space="preserve">δραστηριοποιούνται στο </w:t>
      </w:r>
      <w:r w:rsidR="007C6F10">
        <w:t>μικρό συνδεδεμένο σύστημα (</w:t>
      </w:r>
      <w:r>
        <w:t>ΜΣΣ</w:t>
      </w:r>
      <w:r w:rsidR="007C6F10">
        <w:t>) της Κρήτης</w:t>
      </w:r>
      <w:r>
        <w:t xml:space="preserve"> </w:t>
      </w:r>
      <w:r w:rsidR="0025491E">
        <w:t>μετά</w:t>
      </w:r>
      <w:r>
        <w:t xml:space="preserve"> τη</w:t>
      </w:r>
      <w:r w:rsidR="000D1FED">
        <w:t xml:space="preserve"> Δήλη Ημέρα </w:t>
      </w:r>
      <w:r w:rsidR="006277DE">
        <w:t xml:space="preserve">της </w:t>
      </w:r>
      <w:r w:rsidR="000D1FED">
        <w:t xml:space="preserve">Φάσης </w:t>
      </w:r>
      <w:r w:rsidR="006277DE">
        <w:t>Α’</w:t>
      </w:r>
      <w:r w:rsidR="000D1FED">
        <w:t xml:space="preserve"> Διασύνδεσης </w:t>
      </w:r>
      <w:r>
        <w:t>Κρήτης</w:t>
      </w:r>
      <w:r w:rsidR="00002566">
        <w:t>,</w:t>
      </w:r>
      <w:r w:rsidR="007A7749" w:rsidRPr="007D62A1">
        <w:t xml:space="preserve"> </w:t>
      </w:r>
      <w:r>
        <w:t>επισημαίνουμε τις αλλαγές που απαιτούνται προκειμένου να διασφαλιστεί η απαιτούμενη χρηματοπιστωτική κάλυψη του Διαχειριστή ΜΔΝ κατά το υβριδικό μοντέλο λειτουργίας της αγοράς της Κρήτης.</w:t>
      </w:r>
    </w:p>
    <w:p w14:paraId="60F203DA" w14:textId="77777777" w:rsidR="00F51F80" w:rsidRDefault="00EC2C20" w:rsidP="00F51F80">
      <w:pPr>
        <w:ind w:firstLine="567"/>
        <w:jc w:val="both"/>
      </w:pPr>
      <w:r>
        <w:t>Εφαρμόζοντας την υφιστάμενη</w:t>
      </w:r>
      <w:r w:rsidR="007C6F10">
        <w:t xml:space="preserve"> μεθοδολογία υπολογισμού εγγυήσεων</w:t>
      </w:r>
      <w:r>
        <w:t xml:space="preserve"> </w:t>
      </w:r>
      <w:r w:rsidR="007C6F10">
        <w:t>ΕΦ</w:t>
      </w:r>
      <w:r>
        <w:t xml:space="preserve"> (ΦΕΚ Β’ 3286/13.10.2016)</w:t>
      </w:r>
      <w:r w:rsidR="00C96AA7">
        <w:t xml:space="preserve"> </w:t>
      </w:r>
      <w:r w:rsidR="007C6F10">
        <w:t xml:space="preserve">προκύπτουν </w:t>
      </w:r>
      <w:r w:rsidR="0025491E">
        <w:t xml:space="preserve">σχεδόν </w:t>
      </w:r>
      <w:r w:rsidR="007C6F10">
        <w:t xml:space="preserve">μηδενικές εγγυήσεις, καθώς πλέον θα </w:t>
      </w:r>
      <w:r w:rsidR="00C96AA7">
        <w:t xml:space="preserve">λαμβάνονται υπόψη μόνο οι </w:t>
      </w:r>
      <w:r w:rsidR="007C6F10">
        <w:t xml:space="preserve">συμπληρωματικές </w:t>
      </w:r>
      <w:r w:rsidR="00C96AA7">
        <w:t xml:space="preserve">χρεώσεις για </w:t>
      </w:r>
      <w:r w:rsidR="007C6F10">
        <w:t>τα ποσά ενέργειας</w:t>
      </w:r>
      <w:r w:rsidR="00C96AA7">
        <w:t xml:space="preserve"> που παράγονται από Συμβατικές Μονάδες και καταναλώνονται εντός των ορίων του ΜΣΣ</w:t>
      </w:r>
      <w:r w:rsidR="007C6F10">
        <w:t xml:space="preserve"> της Κρήτης</w:t>
      </w:r>
      <w:r w:rsidR="00CA7160">
        <w:t xml:space="preserve">, όπως αυτές προκύπτουν λαμβάνοντας υπόψη τα ποσά που εκκαθαρίζονται από την </w:t>
      </w:r>
      <w:r w:rsidR="00CA7160">
        <w:rPr>
          <w:lang w:val="en-US"/>
        </w:rPr>
        <w:t>EnExClear</w:t>
      </w:r>
      <w:r w:rsidR="00C96AA7">
        <w:t xml:space="preserve">. </w:t>
      </w:r>
      <w:r w:rsidR="007C6F10">
        <w:t>Στη μεθοδολογία υπολογισμού εγγυήσεων ΕΦ δ</w:t>
      </w:r>
      <w:r w:rsidR="00C96AA7">
        <w:t xml:space="preserve">εν </w:t>
      </w:r>
      <w:r w:rsidR="007C6F10">
        <w:t xml:space="preserve">θα </w:t>
      </w:r>
      <w:r w:rsidR="00C96AA7">
        <w:t>λαμβάνονται υπόψη οι χρεώσεις των ΕΦ για την παραγωγή των ΑΠΕ (πλέον θα χρεώνεται από τον ΔΑΠΕΕΠ)</w:t>
      </w:r>
      <w:r w:rsidR="007C6F10">
        <w:t xml:space="preserve">, καθώς και </w:t>
      </w:r>
      <w:r w:rsidR="00C96AA7">
        <w:t>οι ρυθμιστικές χρεώσεις (ΕΤΜΕΑΡ, ΧΧΔ και ΥΚΩ Πελατών). Το ΕΤΜΕΑΡ θα τιμολογείται και θα χρεώνεται από τον ΔΑΠΕΕΠ, ενώ τα ποσά ΧΧΔ και ΥΚΩ Πελατών θα τιμολογούνται και θα χρεώνονται σύμφωνα με τις πρακτικές που ακολουθούνται από τον ΔΕΔΔΗΕ για το Διασυνδεδεμένο Δίκτυο.</w:t>
      </w:r>
      <w:r w:rsidR="00CA7160" w:rsidRPr="00CA7160">
        <w:t xml:space="preserve"> </w:t>
      </w:r>
      <w:r w:rsidR="00CA7160">
        <w:t>Τα ποσά ΧΧΣ θα τιμολογούνται και θα χρεώνονται από τον ΑΔΜΗΕ.</w:t>
      </w:r>
    </w:p>
    <w:p w14:paraId="3F8ABA4E" w14:textId="02C329DA" w:rsidR="00C96AA7" w:rsidRDefault="00C91526" w:rsidP="00F51F80">
      <w:pPr>
        <w:ind w:firstLine="567"/>
        <w:jc w:val="both"/>
      </w:pPr>
      <w:r>
        <w:t xml:space="preserve">Προκειμένου να εξασφαλιστεί ένα ποσό ως εγγύηση για κάλυψη του Διαχειριστή ΜΔΝ για την περίπτωση του ΜΣΣ της Κρήτης (για τα ποσά ενέργειας που παράγονται από Συμβατικές Μονάδες) </w:t>
      </w:r>
      <w:r w:rsidR="00CF3AFF">
        <w:t>προτείνονται τα ακόλουθα σενάρια:</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559"/>
        <w:gridCol w:w="5466"/>
      </w:tblGrid>
      <w:tr w:rsidR="009C71D2" w14:paraId="19A2E1B2" w14:textId="77777777" w:rsidTr="00F06861">
        <w:trPr>
          <w:trHeight w:val="700"/>
        </w:trPr>
        <w:tc>
          <w:tcPr>
            <w:tcW w:w="1271" w:type="dxa"/>
          </w:tcPr>
          <w:p w14:paraId="481A22B2" w14:textId="77777777" w:rsidR="009C71D2" w:rsidRDefault="009C71D2" w:rsidP="00EC2C20">
            <w:pPr>
              <w:jc w:val="both"/>
            </w:pPr>
            <w:r>
              <w:t>Σενάριο 1:</w:t>
            </w:r>
          </w:p>
        </w:tc>
        <w:tc>
          <w:tcPr>
            <w:tcW w:w="7025" w:type="dxa"/>
            <w:gridSpan w:val="2"/>
          </w:tcPr>
          <w:p w14:paraId="2DB1D0C5" w14:textId="77777777" w:rsidR="009C71D2" w:rsidRDefault="009C71D2" w:rsidP="00EC2C20">
            <w:pPr>
              <w:jc w:val="both"/>
            </w:pPr>
            <w:r>
              <w:t>Απομείωση του Ανταλλάγματος ΥΚΩ_ΜΔΝ της μεθοδολογίας υπολογισμού εγγυήσεων ΕΦ κατά 60% του εκτιμώμενου ποσού Ανταλλάγματος ΥΚΩ_ΜΔΝ</w:t>
            </w:r>
          </w:p>
        </w:tc>
      </w:tr>
      <w:tr w:rsidR="009C71D2" w14:paraId="788FD386" w14:textId="77777777" w:rsidTr="009C71D2">
        <w:trPr>
          <w:trHeight w:val="1279"/>
        </w:trPr>
        <w:tc>
          <w:tcPr>
            <w:tcW w:w="1271" w:type="dxa"/>
          </w:tcPr>
          <w:p w14:paraId="18B9321F" w14:textId="77777777" w:rsidR="009C71D2" w:rsidRDefault="009C71D2" w:rsidP="00EC2C20">
            <w:pPr>
              <w:jc w:val="both"/>
            </w:pPr>
            <w:r>
              <w:t>Σενάριο 2:</w:t>
            </w:r>
          </w:p>
        </w:tc>
        <w:tc>
          <w:tcPr>
            <w:tcW w:w="7025" w:type="dxa"/>
            <w:gridSpan w:val="2"/>
          </w:tcPr>
          <w:p w14:paraId="13C49B8B" w14:textId="77777777" w:rsidR="009C71D2" w:rsidRDefault="009C71D2" w:rsidP="009C71D2">
            <w:pPr>
              <w:jc w:val="both"/>
            </w:pPr>
            <w:r>
              <w:t>Απομείωση του Ανταλλάγματος ΥΚΩ_ΜΔΝ στη μεθοδολογία υπολογισμού εγγυήσεων ΕΦ κατά 100% του εκτιμώμενου ποσού Ανταλλάγματος ΥΚΩ_ΜΔΝ. Σε αυτό το σενάριο επειδή αναμένεται να προκύψουν αυξημένα ποσά εγγυήσεων προτείνονται περαιτέρω οι ακόλουθες δύο περιπτώσεις.</w:t>
            </w:r>
          </w:p>
        </w:tc>
      </w:tr>
      <w:tr w:rsidR="009C71D2" w14:paraId="6FFA4C02" w14:textId="77777777" w:rsidTr="009C71D2">
        <w:trPr>
          <w:trHeight w:val="1126"/>
        </w:trPr>
        <w:tc>
          <w:tcPr>
            <w:tcW w:w="1271" w:type="dxa"/>
          </w:tcPr>
          <w:p w14:paraId="40B2A614" w14:textId="77777777" w:rsidR="009C71D2" w:rsidRDefault="009C71D2" w:rsidP="00EC2C20">
            <w:pPr>
              <w:jc w:val="both"/>
            </w:pPr>
          </w:p>
        </w:tc>
        <w:tc>
          <w:tcPr>
            <w:tcW w:w="1559" w:type="dxa"/>
          </w:tcPr>
          <w:p w14:paraId="209A2469" w14:textId="77777777" w:rsidR="009C71D2" w:rsidRDefault="009C71D2" w:rsidP="00EC2C20">
            <w:pPr>
              <w:jc w:val="both"/>
            </w:pPr>
            <w:r>
              <w:t>Περίπτωση Α:</w:t>
            </w:r>
          </w:p>
        </w:tc>
        <w:tc>
          <w:tcPr>
            <w:tcW w:w="5466" w:type="dxa"/>
          </w:tcPr>
          <w:p w14:paraId="54738D23" w14:textId="77777777" w:rsidR="009C71D2" w:rsidRDefault="009C71D2" w:rsidP="00EC2C20">
            <w:pPr>
              <w:jc w:val="both"/>
            </w:pPr>
            <w:r>
              <w:t>Ποσό εγγύησης ίσο με το ποσό που αντιστοιχεί στο μήνα με τη μεγαλύτερη εκτιμώμενη χρέωση του ΕΦ (ΧΕΦ), ακολουθώντας κατά τα λοιπά τη μεθοδολογία υπολογισμού εγγυήσεων ΕΦ.</w:t>
            </w:r>
          </w:p>
        </w:tc>
      </w:tr>
      <w:tr w:rsidR="009C71D2" w14:paraId="20C5A432" w14:textId="77777777" w:rsidTr="009C71D2">
        <w:trPr>
          <w:trHeight w:val="405"/>
        </w:trPr>
        <w:tc>
          <w:tcPr>
            <w:tcW w:w="1271" w:type="dxa"/>
          </w:tcPr>
          <w:p w14:paraId="7042CFD3" w14:textId="77777777" w:rsidR="009C71D2" w:rsidRDefault="009C71D2" w:rsidP="00EC2C20">
            <w:pPr>
              <w:jc w:val="both"/>
            </w:pPr>
          </w:p>
        </w:tc>
        <w:tc>
          <w:tcPr>
            <w:tcW w:w="1559" w:type="dxa"/>
          </w:tcPr>
          <w:p w14:paraId="4E2BCF75" w14:textId="77777777" w:rsidR="009C71D2" w:rsidRDefault="009C71D2" w:rsidP="00EC2C20">
            <w:pPr>
              <w:jc w:val="both"/>
            </w:pPr>
            <w:r>
              <w:t>Περίπτωση Β:</w:t>
            </w:r>
          </w:p>
        </w:tc>
        <w:tc>
          <w:tcPr>
            <w:tcW w:w="5466" w:type="dxa"/>
          </w:tcPr>
          <w:p w14:paraId="01C29473" w14:textId="77777777" w:rsidR="009C71D2" w:rsidRDefault="009C71D2" w:rsidP="00EC2C20">
            <w:pPr>
              <w:jc w:val="both"/>
            </w:pPr>
            <w:r>
              <w:t>Ποσό ίσο με το 80% του ποσού της Περίπτωσης Α.</w:t>
            </w:r>
          </w:p>
        </w:tc>
      </w:tr>
    </w:tbl>
    <w:p w14:paraId="1BD7DC7E" w14:textId="77777777" w:rsidR="00205088" w:rsidRDefault="00205088" w:rsidP="00F51F80">
      <w:pPr>
        <w:ind w:firstLine="567"/>
        <w:jc w:val="both"/>
      </w:pPr>
    </w:p>
    <w:p w14:paraId="252F036A" w14:textId="413EA8A0" w:rsidR="003D37BB" w:rsidRPr="003D37BB" w:rsidRDefault="001C584F" w:rsidP="00F51F80">
      <w:pPr>
        <w:ind w:firstLine="567"/>
        <w:jc w:val="both"/>
      </w:pPr>
      <w:r>
        <w:t xml:space="preserve">Δεδομένου ότι η επιλογή </w:t>
      </w:r>
      <w:r w:rsidR="003D37BB">
        <w:t xml:space="preserve">του Σεναρίου 1, δεν </w:t>
      </w:r>
      <w:r>
        <w:t xml:space="preserve">επιφέρει ουσιώδεις μεταβολές στην </w:t>
      </w:r>
      <w:r w:rsidR="003D37BB">
        <w:t xml:space="preserve"> υφιστάμενη μεθοδολογία υπολογισμού εγγυήσεων ΕΦ</w:t>
      </w:r>
      <w:r w:rsidR="0025491E">
        <w:t xml:space="preserve">, </w:t>
      </w:r>
      <w:r>
        <w:t>προτείνεται ως η βέλτιστη.</w:t>
      </w:r>
    </w:p>
    <w:p w14:paraId="17A2B12F" w14:textId="77777777" w:rsidR="007348C2" w:rsidRPr="00C96AA7" w:rsidRDefault="007348C2" w:rsidP="007348C2">
      <w:pPr>
        <w:jc w:val="both"/>
      </w:pPr>
    </w:p>
    <w:sectPr w:rsidR="007348C2" w:rsidRPr="00C96A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E4FA4"/>
    <w:multiLevelType w:val="hybridMultilevel"/>
    <w:tmpl w:val="1E0C0F4A"/>
    <w:lvl w:ilvl="0" w:tplc="04080003">
      <w:start w:val="1"/>
      <w:numFmt w:val="bullet"/>
      <w:lvlText w:val="o"/>
      <w:lvlJc w:val="left"/>
      <w:pPr>
        <w:ind w:left="2138" w:hanging="360"/>
      </w:pPr>
      <w:rPr>
        <w:rFonts w:ascii="Courier New" w:hAnsi="Courier New" w:cs="Courier New"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 w15:restartNumberingAfterBreak="0">
    <w:nsid w:val="3AE94AFE"/>
    <w:multiLevelType w:val="hybridMultilevel"/>
    <w:tmpl w:val="25C6A856"/>
    <w:lvl w:ilvl="0" w:tplc="04080003">
      <w:start w:val="1"/>
      <w:numFmt w:val="bullet"/>
      <w:lvlText w:val="o"/>
      <w:lvlJc w:val="left"/>
      <w:pPr>
        <w:ind w:left="720" w:hanging="360"/>
      </w:pPr>
      <w:rPr>
        <w:rFonts w:ascii="Courier New" w:hAnsi="Courier New" w:cs="Courier New"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F782594"/>
    <w:multiLevelType w:val="hybridMultilevel"/>
    <w:tmpl w:val="9E8847CA"/>
    <w:lvl w:ilvl="0" w:tplc="0408000F">
      <w:start w:val="1"/>
      <w:numFmt w:val="decimal"/>
      <w:lvlText w:val="%1."/>
      <w:lvlJc w:val="left"/>
      <w:pPr>
        <w:ind w:left="2138" w:hanging="360"/>
      </w:pPr>
      <w:rPr>
        <w:rFont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3" w15:restartNumberingAfterBreak="0">
    <w:nsid w:val="55BE18FF"/>
    <w:multiLevelType w:val="hybridMultilevel"/>
    <w:tmpl w:val="3336061A"/>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4" w15:restartNumberingAfterBreak="0">
    <w:nsid w:val="7F3440AD"/>
    <w:multiLevelType w:val="hybridMultilevel"/>
    <w:tmpl w:val="E0F80FAA"/>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1"/>
    <w:rsid w:val="00002566"/>
    <w:rsid w:val="000417DA"/>
    <w:rsid w:val="000D1FED"/>
    <w:rsid w:val="000E0566"/>
    <w:rsid w:val="000E4A15"/>
    <w:rsid w:val="00164AAF"/>
    <w:rsid w:val="001C584F"/>
    <w:rsid w:val="00205088"/>
    <w:rsid w:val="0025491E"/>
    <w:rsid w:val="003D37BB"/>
    <w:rsid w:val="006277DE"/>
    <w:rsid w:val="007348C2"/>
    <w:rsid w:val="007A7749"/>
    <w:rsid w:val="007C6F10"/>
    <w:rsid w:val="007D62A1"/>
    <w:rsid w:val="008C27F1"/>
    <w:rsid w:val="009127E9"/>
    <w:rsid w:val="009C71D2"/>
    <w:rsid w:val="00B15761"/>
    <w:rsid w:val="00BD2E96"/>
    <w:rsid w:val="00C91526"/>
    <w:rsid w:val="00C96AA7"/>
    <w:rsid w:val="00CA1141"/>
    <w:rsid w:val="00CA7160"/>
    <w:rsid w:val="00CF3AFF"/>
    <w:rsid w:val="00D27081"/>
    <w:rsid w:val="00E705D5"/>
    <w:rsid w:val="00EC2C20"/>
    <w:rsid w:val="00F06861"/>
    <w:rsid w:val="00F51F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949D"/>
  <w15:chartTrackingRefBased/>
  <w15:docId w15:val="{607E478A-0652-44E0-ACC2-CB5749EB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AFF"/>
    <w:pPr>
      <w:ind w:left="720"/>
      <w:contextualSpacing/>
    </w:pPr>
  </w:style>
  <w:style w:type="table" w:styleId="a4">
    <w:name w:val="Table Grid"/>
    <w:basedOn w:val="a1"/>
    <w:uiPriority w:val="39"/>
    <w:rsid w:val="009C7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25491E"/>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25491E"/>
    <w:rPr>
      <w:rFonts w:ascii="Segoe UI" w:hAnsi="Segoe UI" w:cs="Segoe UI"/>
      <w:sz w:val="18"/>
      <w:szCs w:val="18"/>
    </w:rPr>
  </w:style>
  <w:style w:type="character" w:styleId="a6">
    <w:name w:val="annotation reference"/>
    <w:basedOn w:val="a0"/>
    <w:uiPriority w:val="99"/>
    <w:semiHidden/>
    <w:unhideWhenUsed/>
    <w:rsid w:val="007A7749"/>
    <w:rPr>
      <w:sz w:val="16"/>
      <w:szCs w:val="16"/>
    </w:rPr>
  </w:style>
  <w:style w:type="paragraph" w:styleId="a7">
    <w:name w:val="annotation text"/>
    <w:basedOn w:val="a"/>
    <w:link w:val="Char0"/>
    <w:uiPriority w:val="99"/>
    <w:semiHidden/>
    <w:unhideWhenUsed/>
    <w:rsid w:val="007A7749"/>
    <w:pPr>
      <w:spacing w:line="240" w:lineRule="auto"/>
    </w:pPr>
    <w:rPr>
      <w:sz w:val="20"/>
      <w:szCs w:val="20"/>
    </w:rPr>
  </w:style>
  <w:style w:type="character" w:customStyle="1" w:styleId="Char0">
    <w:name w:val="Κείμενο σχολίου Char"/>
    <w:basedOn w:val="a0"/>
    <w:link w:val="a7"/>
    <w:uiPriority w:val="99"/>
    <w:semiHidden/>
    <w:rsid w:val="007A7749"/>
    <w:rPr>
      <w:sz w:val="20"/>
      <w:szCs w:val="20"/>
    </w:rPr>
  </w:style>
  <w:style w:type="paragraph" w:styleId="a8">
    <w:name w:val="annotation subject"/>
    <w:basedOn w:val="a7"/>
    <w:next w:val="a7"/>
    <w:link w:val="Char1"/>
    <w:uiPriority w:val="99"/>
    <w:semiHidden/>
    <w:unhideWhenUsed/>
    <w:rsid w:val="007A7749"/>
    <w:rPr>
      <w:b/>
      <w:bCs/>
    </w:rPr>
  </w:style>
  <w:style w:type="character" w:customStyle="1" w:styleId="Char1">
    <w:name w:val="Θέμα σχολίου Char"/>
    <w:basedOn w:val="Char0"/>
    <w:link w:val="a8"/>
    <w:uiPriority w:val="99"/>
    <w:semiHidden/>
    <w:rsid w:val="007A77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1988</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Ευαγγελόπουλος Βασίλειος</dc:creator>
  <cp:keywords/>
  <dc:description/>
  <cp:lastModifiedBy>Eleni Stergiopoulou</cp:lastModifiedBy>
  <cp:revision>6</cp:revision>
  <cp:lastPrinted>2021-07-08T14:36:00Z</cp:lastPrinted>
  <dcterms:created xsi:type="dcterms:W3CDTF">2021-09-07T12:07:00Z</dcterms:created>
  <dcterms:modified xsi:type="dcterms:W3CDTF">2021-09-07T12:13:00Z</dcterms:modified>
</cp:coreProperties>
</file>