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2C4B" w14:textId="77777777" w:rsidR="00EC0B2A" w:rsidRDefault="00EC0B2A" w:rsidP="00EC0B2A">
      <w:pPr>
        <w:jc w:val="both"/>
        <w:rPr>
          <w:lang w:val="el-GR"/>
        </w:rPr>
      </w:pPr>
    </w:p>
    <w:p w14:paraId="1FDB224C" w14:textId="77777777" w:rsidR="00EC0B2A" w:rsidRDefault="00EC0B2A" w:rsidP="00EC0B2A">
      <w:pPr>
        <w:jc w:val="both"/>
        <w:rPr>
          <w:lang w:val="el-GR"/>
        </w:rPr>
      </w:pPr>
    </w:p>
    <w:p w14:paraId="34BF8A69" w14:textId="77777777" w:rsidR="00EC0B2A" w:rsidRDefault="00EC0B2A" w:rsidP="00EC0B2A">
      <w:pPr>
        <w:jc w:val="both"/>
        <w:rPr>
          <w:lang w:val="el-GR"/>
        </w:rPr>
      </w:pPr>
    </w:p>
    <w:p w14:paraId="332DBEF4" w14:textId="77777777" w:rsidR="00EC0B2A" w:rsidRDefault="00EC0B2A" w:rsidP="00EC0B2A">
      <w:pPr>
        <w:jc w:val="both"/>
        <w:rPr>
          <w:lang w:val="el-GR"/>
        </w:rPr>
      </w:pPr>
    </w:p>
    <w:p w14:paraId="7D036430" w14:textId="77777777" w:rsidR="00EC0B2A" w:rsidRDefault="00EC0B2A" w:rsidP="00EC0B2A">
      <w:pPr>
        <w:jc w:val="both"/>
        <w:rPr>
          <w:lang w:val="el-GR"/>
        </w:rPr>
      </w:pPr>
    </w:p>
    <w:p w14:paraId="06278592" w14:textId="77777777" w:rsidR="00EC0B2A" w:rsidRDefault="00EC0B2A" w:rsidP="00EC0B2A">
      <w:pPr>
        <w:jc w:val="both"/>
        <w:rPr>
          <w:lang w:val="el-GR"/>
        </w:rPr>
      </w:pPr>
    </w:p>
    <w:p w14:paraId="353BD688" w14:textId="77777777" w:rsidR="00EC0B2A" w:rsidRDefault="00EC0B2A" w:rsidP="00EC0B2A">
      <w:pPr>
        <w:jc w:val="both"/>
        <w:rPr>
          <w:lang w:val="el-GR"/>
        </w:rPr>
      </w:pPr>
    </w:p>
    <w:p w14:paraId="53A1E47D" w14:textId="77777777" w:rsidR="00EC0B2A" w:rsidRDefault="00EC0B2A" w:rsidP="00EC0B2A">
      <w:pPr>
        <w:jc w:val="both"/>
        <w:rPr>
          <w:lang w:val="el-GR"/>
        </w:rPr>
      </w:pPr>
    </w:p>
    <w:p w14:paraId="04C77B63" w14:textId="77777777" w:rsidR="00EC0B2A" w:rsidRDefault="00EC0B2A" w:rsidP="00EC0B2A">
      <w:pPr>
        <w:jc w:val="both"/>
        <w:rPr>
          <w:lang w:val="el-GR"/>
        </w:rPr>
      </w:pPr>
    </w:p>
    <w:p w14:paraId="73D52E9F" w14:textId="77777777" w:rsidR="00EC0B2A" w:rsidRDefault="00EC0B2A" w:rsidP="00EC0B2A">
      <w:pPr>
        <w:jc w:val="both"/>
        <w:rPr>
          <w:lang w:val="el-GR"/>
        </w:rPr>
      </w:pPr>
    </w:p>
    <w:p w14:paraId="546A89AA" w14:textId="77777777" w:rsidR="00EC0B2A" w:rsidRDefault="00EC0B2A" w:rsidP="00EC0B2A">
      <w:pPr>
        <w:jc w:val="both"/>
        <w:rPr>
          <w:lang w:val="el-GR"/>
        </w:rPr>
      </w:pPr>
    </w:p>
    <w:p w14:paraId="16301AFF" w14:textId="77777777" w:rsidR="00EC0B2A" w:rsidRDefault="00EC0B2A" w:rsidP="00EC0B2A">
      <w:pPr>
        <w:jc w:val="both"/>
        <w:rPr>
          <w:lang w:val="el-GR"/>
        </w:rPr>
      </w:pPr>
    </w:p>
    <w:p w14:paraId="4E88731D" w14:textId="5332D571" w:rsidR="00EC0B2A" w:rsidRPr="00B404BD" w:rsidRDefault="0019606F" w:rsidP="00EB4D60">
      <w:pPr>
        <w:pStyle w:val="ac"/>
        <w:jc w:val="center"/>
        <w:rPr>
          <w:rFonts w:asciiTheme="minorHAnsi" w:hAnsiTheme="minorHAnsi" w:cstheme="minorHAnsi"/>
          <w:i w:val="0"/>
          <w:color w:val="auto"/>
          <w:sz w:val="70"/>
          <w:szCs w:val="70"/>
          <w:lang w:val="el-GR"/>
        </w:rPr>
      </w:pPr>
      <w:r>
        <w:rPr>
          <w:rFonts w:asciiTheme="minorHAnsi" w:hAnsiTheme="minorHAnsi" w:cstheme="minorHAnsi"/>
          <w:i w:val="0"/>
          <w:color w:val="auto"/>
          <w:sz w:val="70"/>
          <w:szCs w:val="70"/>
          <w:lang w:val="el-GR"/>
        </w:rPr>
        <w:t xml:space="preserve">Σχέδιο </w:t>
      </w:r>
      <w:r w:rsidR="00EC0B2A" w:rsidRPr="00B404BD">
        <w:rPr>
          <w:rFonts w:asciiTheme="minorHAnsi" w:hAnsiTheme="minorHAnsi" w:cstheme="minorHAnsi"/>
          <w:i w:val="0"/>
          <w:color w:val="auto"/>
          <w:sz w:val="70"/>
          <w:szCs w:val="70"/>
          <w:lang w:val="el-GR"/>
        </w:rPr>
        <w:t>Ρυθμιστικ</w:t>
      </w:r>
      <w:r>
        <w:rPr>
          <w:rFonts w:asciiTheme="minorHAnsi" w:hAnsiTheme="minorHAnsi" w:cstheme="minorHAnsi"/>
          <w:i w:val="0"/>
          <w:color w:val="auto"/>
          <w:sz w:val="70"/>
          <w:szCs w:val="70"/>
          <w:lang w:val="el-GR"/>
        </w:rPr>
        <w:t>ών</w:t>
      </w:r>
      <w:r w:rsidR="00EC0B2A" w:rsidRPr="00B404BD">
        <w:rPr>
          <w:rFonts w:asciiTheme="minorHAnsi" w:hAnsiTheme="minorHAnsi" w:cstheme="minorHAnsi"/>
          <w:i w:val="0"/>
          <w:color w:val="auto"/>
          <w:sz w:val="70"/>
          <w:szCs w:val="70"/>
          <w:lang w:val="el-GR"/>
        </w:rPr>
        <w:t xml:space="preserve"> Οδηγ</w:t>
      </w:r>
      <w:r>
        <w:rPr>
          <w:rFonts w:asciiTheme="minorHAnsi" w:hAnsiTheme="minorHAnsi" w:cstheme="minorHAnsi"/>
          <w:i w:val="0"/>
          <w:color w:val="auto"/>
          <w:sz w:val="70"/>
          <w:szCs w:val="70"/>
          <w:lang w:val="el-GR"/>
        </w:rPr>
        <w:t>ιών</w:t>
      </w:r>
      <w:r w:rsidR="00EC0B2A" w:rsidRPr="00B404BD">
        <w:rPr>
          <w:rFonts w:asciiTheme="minorHAnsi" w:hAnsiTheme="minorHAnsi" w:cstheme="minorHAnsi"/>
          <w:i w:val="0"/>
          <w:color w:val="auto"/>
          <w:sz w:val="70"/>
          <w:szCs w:val="70"/>
          <w:lang w:val="el-GR"/>
        </w:rPr>
        <w:t xml:space="preserve"> για </w:t>
      </w:r>
      <w:r w:rsidR="00872277">
        <w:rPr>
          <w:rFonts w:asciiTheme="minorHAnsi" w:hAnsiTheme="minorHAnsi" w:cstheme="minorHAnsi"/>
          <w:i w:val="0"/>
          <w:color w:val="auto"/>
          <w:sz w:val="70"/>
          <w:szCs w:val="70"/>
          <w:lang w:val="el-GR"/>
        </w:rPr>
        <w:t>Έ</w:t>
      </w:r>
      <w:r w:rsidR="00EC0B2A" w:rsidRPr="00B404BD">
        <w:rPr>
          <w:rFonts w:asciiTheme="minorHAnsi" w:hAnsiTheme="minorHAnsi" w:cstheme="minorHAnsi"/>
          <w:i w:val="0"/>
          <w:color w:val="auto"/>
          <w:sz w:val="70"/>
          <w:szCs w:val="70"/>
          <w:lang w:val="el-GR"/>
        </w:rPr>
        <w:t xml:space="preserve">κθεση </w:t>
      </w:r>
      <w:r w:rsidR="00872277">
        <w:rPr>
          <w:rFonts w:asciiTheme="minorHAnsi" w:hAnsiTheme="minorHAnsi" w:cstheme="minorHAnsi"/>
          <w:i w:val="0"/>
          <w:color w:val="auto"/>
          <w:sz w:val="70"/>
          <w:szCs w:val="70"/>
          <w:lang w:val="el-GR"/>
        </w:rPr>
        <w:t>Α</w:t>
      </w:r>
      <w:r w:rsidR="00EC0B2A" w:rsidRPr="00B404BD">
        <w:rPr>
          <w:rFonts w:asciiTheme="minorHAnsi" w:hAnsiTheme="minorHAnsi" w:cstheme="minorHAnsi"/>
          <w:i w:val="0"/>
          <w:color w:val="auto"/>
          <w:sz w:val="70"/>
          <w:szCs w:val="70"/>
          <w:lang w:val="el-GR"/>
        </w:rPr>
        <w:t xml:space="preserve">πόδοσης </w:t>
      </w:r>
      <w:r w:rsidR="00B6314E" w:rsidRPr="00B404BD">
        <w:rPr>
          <w:rFonts w:asciiTheme="minorHAnsi" w:hAnsiTheme="minorHAnsi" w:cstheme="minorHAnsi"/>
          <w:i w:val="0"/>
          <w:color w:val="auto"/>
          <w:sz w:val="70"/>
          <w:szCs w:val="70"/>
          <w:lang w:val="el-GR"/>
        </w:rPr>
        <w:t>Λειτουργίας του ΕΣΜΗΕ</w:t>
      </w:r>
    </w:p>
    <w:p w14:paraId="63B50E81" w14:textId="77777777" w:rsidR="00EC0B2A" w:rsidRDefault="00EC0B2A" w:rsidP="00EC0B2A">
      <w:pPr>
        <w:jc w:val="both"/>
        <w:rPr>
          <w:lang w:val="el-GR"/>
        </w:rPr>
      </w:pPr>
    </w:p>
    <w:p w14:paraId="33FA4514" w14:textId="77777777" w:rsidR="00EC0B2A" w:rsidRDefault="00EC0B2A" w:rsidP="00EC0B2A">
      <w:pPr>
        <w:jc w:val="both"/>
        <w:rPr>
          <w:lang w:val="el-GR"/>
        </w:rPr>
      </w:pPr>
    </w:p>
    <w:p w14:paraId="2338DE6B" w14:textId="77777777" w:rsidR="00EC0B2A" w:rsidRDefault="00EC0B2A" w:rsidP="00EC0B2A">
      <w:pPr>
        <w:jc w:val="both"/>
        <w:rPr>
          <w:lang w:val="el-GR"/>
        </w:rPr>
      </w:pPr>
    </w:p>
    <w:p w14:paraId="57B973A7" w14:textId="77777777" w:rsidR="00EC0B2A" w:rsidRDefault="00EC0B2A" w:rsidP="00EC0B2A">
      <w:pPr>
        <w:jc w:val="both"/>
        <w:rPr>
          <w:lang w:val="el-GR"/>
        </w:rPr>
      </w:pPr>
    </w:p>
    <w:p w14:paraId="0096C422" w14:textId="77777777" w:rsidR="00EC0B2A" w:rsidRDefault="00EC0B2A" w:rsidP="00EC0B2A">
      <w:pPr>
        <w:jc w:val="both"/>
        <w:rPr>
          <w:lang w:val="el-GR"/>
        </w:rPr>
      </w:pPr>
    </w:p>
    <w:p w14:paraId="32EF067F" w14:textId="77777777" w:rsidR="00EC0B2A" w:rsidRDefault="00EC0B2A" w:rsidP="00EC0B2A">
      <w:pPr>
        <w:jc w:val="both"/>
        <w:rPr>
          <w:lang w:val="el-GR"/>
        </w:rPr>
      </w:pPr>
    </w:p>
    <w:p w14:paraId="16D90E2E" w14:textId="77777777" w:rsidR="00EC0B2A" w:rsidRDefault="00EC0B2A" w:rsidP="00EC0B2A">
      <w:pPr>
        <w:jc w:val="both"/>
        <w:rPr>
          <w:lang w:val="el-GR"/>
        </w:rPr>
      </w:pPr>
    </w:p>
    <w:p w14:paraId="2001CA1A" w14:textId="77777777" w:rsidR="00EC0B2A" w:rsidRDefault="00EC0B2A" w:rsidP="00EC0B2A">
      <w:pPr>
        <w:jc w:val="both"/>
        <w:rPr>
          <w:lang w:val="el-GR"/>
        </w:rPr>
      </w:pPr>
    </w:p>
    <w:p w14:paraId="7FB2F8EF" w14:textId="77777777" w:rsidR="00EC0B2A" w:rsidRDefault="00EC0B2A" w:rsidP="00EC0B2A">
      <w:pPr>
        <w:jc w:val="both"/>
        <w:rPr>
          <w:lang w:val="el-GR"/>
        </w:rPr>
      </w:pPr>
    </w:p>
    <w:p w14:paraId="1004D4D6" w14:textId="77777777" w:rsidR="00EC0B2A" w:rsidRDefault="00EC0B2A" w:rsidP="00EC0B2A">
      <w:pPr>
        <w:jc w:val="both"/>
        <w:rPr>
          <w:lang w:val="el-GR"/>
        </w:rPr>
      </w:pPr>
    </w:p>
    <w:p w14:paraId="2465D61C" w14:textId="77777777" w:rsidR="00EC0B2A" w:rsidRDefault="00EC0B2A" w:rsidP="00EC0B2A">
      <w:pPr>
        <w:jc w:val="both"/>
        <w:rPr>
          <w:lang w:val="el-GR"/>
        </w:rPr>
      </w:pPr>
    </w:p>
    <w:p w14:paraId="71D3A4C5" w14:textId="77777777" w:rsidR="00EC0B2A" w:rsidRDefault="00EC0B2A" w:rsidP="00EC0B2A">
      <w:pPr>
        <w:jc w:val="both"/>
        <w:rPr>
          <w:lang w:val="el-GR"/>
        </w:rPr>
      </w:pPr>
    </w:p>
    <w:sdt>
      <w:sdtPr>
        <w:rPr>
          <w:rFonts w:asciiTheme="minorHAnsi" w:eastAsiaTheme="minorHAnsi" w:hAnsiTheme="minorHAnsi" w:cstheme="minorBidi"/>
          <w:b w:val="0"/>
          <w:bCs w:val="0"/>
          <w:color w:val="auto"/>
          <w:sz w:val="22"/>
          <w:szCs w:val="22"/>
          <w:lang w:val="en-US"/>
        </w:rPr>
        <w:id w:val="60439688"/>
        <w:docPartObj>
          <w:docPartGallery w:val="Table of Contents"/>
          <w:docPartUnique/>
        </w:docPartObj>
      </w:sdtPr>
      <w:sdtEndPr/>
      <w:sdtContent>
        <w:p w14:paraId="5F650709" w14:textId="77777777" w:rsidR="00A30D11" w:rsidRPr="0088305E" w:rsidRDefault="00A30D11">
          <w:pPr>
            <w:pStyle w:val="ad"/>
            <w:rPr>
              <w:color w:val="auto"/>
            </w:rPr>
          </w:pPr>
          <w:r w:rsidRPr="0088305E">
            <w:rPr>
              <w:color w:val="auto"/>
            </w:rPr>
            <w:t>Περιεχόμενα</w:t>
          </w:r>
        </w:p>
        <w:p w14:paraId="13F01310" w14:textId="496814A6" w:rsidR="0099151D" w:rsidRDefault="00A920BF">
          <w:pPr>
            <w:pStyle w:val="10"/>
            <w:tabs>
              <w:tab w:val="left" w:pos="440"/>
              <w:tab w:val="right" w:leader="dot" w:pos="9350"/>
            </w:tabs>
            <w:rPr>
              <w:rFonts w:eastAsiaTheme="minorEastAsia"/>
              <w:noProof/>
            </w:rPr>
          </w:pPr>
          <w:r>
            <w:rPr>
              <w:lang w:val="el-GR"/>
            </w:rPr>
            <w:fldChar w:fldCharType="begin"/>
          </w:r>
          <w:r w:rsidR="00A30D11">
            <w:rPr>
              <w:lang w:val="el-GR"/>
            </w:rPr>
            <w:instrText xml:space="preserve"> TOC \o "1-3" \h \z \u </w:instrText>
          </w:r>
          <w:r>
            <w:rPr>
              <w:lang w:val="el-GR"/>
            </w:rPr>
            <w:fldChar w:fldCharType="separate"/>
          </w:r>
          <w:hyperlink w:anchor="_Toc100851198" w:history="1">
            <w:r w:rsidR="0099151D" w:rsidRPr="00653FB2">
              <w:rPr>
                <w:rStyle w:val="-"/>
                <w:b/>
                <w:noProof/>
                <w:lang w:val="el-GR"/>
              </w:rPr>
              <w:t>1.</w:t>
            </w:r>
            <w:r w:rsidR="0099151D">
              <w:rPr>
                <w:rFonts w:eastAsiaTheme="minorEastAsia"/>
                <w:noProof/>
              </w:rPr>
              <w:tab/>
            </w:r>
            <w:r w:rsidR="0099151D" w:rsidRPr="00653FB2">
              <w:rPr>
                <w:rStyle w:val="-"/>
                <w:b/>
                <w:noProof/>
                <w:lang w:val="el-GR"/>
              </w:rPr>
              <w:t>Εισαγωγή</w:t>
            </w:r>
            <w:r w:rsidR="0099151D">
              <w:rPr>
                <w:noProof/>
                <w:webHidden/>
              </w:rPr>
              <w:tab/>
            </w:r>
            <w:r w:rsidR="0099151D">
              <w:rPr>
                <w:noProof/>
                <w:webHidden/>
              </w:rPr>
              <w:fldChar w:fldCharType="begin"/>
            </w:r>
            <w:r w:rsidR="0099151D">
              <w:rPr>
                <w:noProof/>
                <w:webHidden/>
              </w:rPr>
              <w:instrText xml:space="preserve"> PAGEREF _Toc100851198 \h </w:instrText>
            </w:r>
            <w:r w:rsidR="0099151D">
              <w:rPr>
                <w:noProof/>
                <w:webHidden/>
              </w:rPr>
            </w:r>
            <w:r w:rsidR="0099151D">
              <w:rPr>
                <w:noProof/>
                <w:webHidden/>
              </w:rPr>
              <w:fldChar w:fldCharType="separate"/>
            </w:r>
            <w:r w:rsidR="00AA2BF2">
              <w:rPr>
                <w:noProof/>
                <w:webHidden/>
              </w:rPr>
              <w:t>3</w:t>
            </w:r>
            <w:r w:rsidR="0099151D">
              <w:rPr>
                <w:noProof/>
                <w:webHidden/>
              </w:rPr>
              <w:fldChar w:fldCharType="end"/>
            </w:r>
          </w:hyperlink>
        </w:p>
        <w:p w14:paraId="7C1810B2" w14:textId="1CAA7073" w:rsidR="0099151D" w:rsidRDefault="003853F0">
          <w:pPr>
            <w:pStyle w:val="10"/>
            <w:tabs>
              <w:tab w:val="left" w:pos="440"/>
              <w:tab w:val="right" w:leader="dot" w:pos="9350"/>
            </w:tabs>
            <w:rPr>
              <w:rFonts w:eastAsiaTheme="minorEastAsia"/>
              <w:noProof/>
            </w:rPr>
          </w:pPr>
          <w:hyperlink w:anchor="_Toc100851199" w:history="1">
            <w:r w:rsidR="0099151D" w:rsidRPr="00653FB2">
              <w:rPr>
                <w:rStyle w:val="-"/>
                <w:b/>
                <w:noProof/>
                <w:lang w:val="el-GR"/>
              </w:rPr>
              <w:t>2.</w:t>
            </w:r>
            <w:r w:rsidR="0099151D">
              <w:rPr>
                <w:rFonts w:eastAsiaTheme="minorEastAsia"/>
                <w:noProof/>
              </w:rPr>
              <w:tab/>
            </w:r>
            <w:r w:rsidR="0099151D" w:rsidRPr="00653FB2">
              <w:rPr>
                <w:rStyle w:val="-"/>
                <w:b/>
                <w:noProof/>
                <w:lang w:val="el-GR"/>
              </w:rPr>
              <w:t>Νομικό πλαίσιο</w:t>
            </w:r>
            <w:r w:rsidR="0099151D">
              <w:rPr>
                <w:noProof/>
                <w:webHidden/>
              </w:rPr>
              <w:tab/>
            </w:r>
            <w:r w:rsidR="0099151D">
              <w:rPr>
                <w:noProof/>
                <w:webHidden/>
              </w:rPr>
              <w:fldChar w:fldCharType="begin"/>
            </w:r>
            <w:r w:rsidR="0099151D">
              <w:rPr>
                <w:noProof/>
                <w:webHidden/>
              </w:rPr>
              <w:instrText xml:space="preserve"> PAGEREF _Toc100851199 \h </w:instrText>
            </w:r>
            <w:r w:rsidR="0099151D">
              <w:rPr>
                <w:noProof/>
                <w:webHidden/>
              </w:rPr>
            </w:r>
            <w:r w:rsidR="0099151D">
              <w:rPr>
                <w:noProof/>
                <w:webHidden/>
              </w:rPr>
              <w:fldChar w:fldCharType="separate"/>
            </w:r>
            <w:r w:rsidR="00AA2BF2">
              <w:rPr>
                <w:noProof/>
                <w:webHidden/>
              </w:rPr>
              <w:t>4</w:t>
            </w:r>
            <w:r w:rsidR="0099151D">
              <w:rPr>
                <w:noProof/>
                <w:webHidden/>
              </w:rPr>
              <w:fldChar w:fldCharType="end"/>
            </w:r>
          </w:hyperlink>
        </w:p>
        <w:p w14:paraId="42456C3C" w14:textId="4F2898CF" w:rsidR="0099151D" w:rsidRDefault="003853F0">
          <w:pPr>
            <w:pStyle w:val="10"/>
            <w:tabs>
              <w:tab w:val="left" w:pos="440"/>
              <w:tab w:val="right" w:leader="dot" w:pos="9350"/>
            </w:tabs>
            <w:rPr>
              <w:rFonts w:eastAsiaTheme="minorEastAsia"/>
              <w:noProof/>
            </w:rPr>
          </w:pPr>
          <w:hyperlink w:anchor="_Toc100851200" w:history="1">
            <w:r w:rsidR="0099151D" w:rsidRPr="00653FB2">
              <w:rPr>
                <w:rStyle w:val="-"/>
                <w:b/>
                <w:bCs/>
                <w:noProof/>
                <w:lang w:val="el-GR"/>
              </w:rPr>
              <w:t>3.</w:t>
            </w:r>
            <w:r w:rsidR="0099151D">
              <w:rPr>
                <w:rFonts w:eastAsiaTheme="minorEastAsia"/>
                <w:noProof/>
              </w:rPr>
              <w:tab/>
            </w:r>
            <w:r w:rsidR="0099151D" w:rsidRPr="00653FB2">
              <w:rPr>
                <w:rStyle w:val="-"/>
                <w:b/>
                <w:bCs/>
                <w:noProof/>
                <w:lang w:val="el-GR"/>
              </w:rPr>
              <w:t>Ασφάλεια εφοδιασμού</w:t>
            </w:r>
            <w:r w:rsidR="0099151D">
              <w:rPr>
                <w:noProof/>
                <w:webHidden/>
              </w:rPr>
              <w:tab/>
            </w:r>
            <w:r w:rsidR="0099151D">
              <w:rPr>
                <w:noProof/>
                <w:webHidden/>
              </w:rPr>
              <w:fldChar w:fldCharType="begin"/>
            </w:r>
            <w:r w:rsidR="0099151D">
              <w:rPr>
                <w:noProof/>
                <w:webHidden/>
              </w:rPr>
              <w:instrText xml:space="preserve"> PAGEREF _Toc100851200 \h </w:instrText>
            </w:r>
            <w:r w:rsidR="0099151D">
              <w:rPr>
                <w:noProof/>
                <w:webHidden/>
              </w:rPr>
            </w:r>
            <w:r w:rsidR="0099151D">
              <w:rPr>
                <w:noProof/>
                <w:webHidden/>
              </w:rPr>
              <w:fldChar w:fldCharType="separate"/>
            </w:r>
            <w:r w:rsidR="00AA2BF2">
              <w:rPr>
                <w:noProof/>
                <w:webHidden/>
              </w:rPr>
              <w:t>6</w:t>
            </w:r>
            <w:r w:rsidR="0099151D">
              <w:rPr>
                <w:noProof/>
                <w:webHidden/>
              </w:rPr>
              <w:fldChar w:fldCharType="end"/>
            </w:r>
          </w:hyperlink>
        </w:p>
        <w:p w14:paraId="7C55FF1A" w14:textId="032FD7D2" w:rsidR="0099151D" w:rsidRDefault="003853F0">
          <w:pPr>
            <w:pStyle w:val="20"/>
            <w:tabs>
              <w:tab w:val="right" w:leader="dot" w:pos="9350"/>
            </w:tabs>
            <w:rPr>
              <w:rFonts w:eastAsiaTheme="minorEastAsia"/>
              <w:noProof/>
            </w:rPr>
          </w:pPr>
          <w:hyperlink w:anchor="_Toc100851201" w:history="1">
            <w:r w:rsidR="0099151D" w:rsidRPr="00653FB2">
              <w:rPr>
                <w:rStyle w:val="-"/>
                <w:noProof/>
                <w:lang w:val="el-GR"/>
              </w:rPr>
              <w:t>3.1 Μη εξυπηρετούμενη ενέργεια (ΕΝ</w:t>
            </w:r>
            <w:r w:rsidR="0099151D" w:rsidRPr="00653FB2">
              <w:rPr>
                <w:rStyle w:val="-"/>
                <w:noProof/>
              </w:rPr>
              <w:t>S</w:t>
            </w:r>
            <w:r w:rsidR="0099151D" w:rsidRPr="00653FB2">
              <w:rPr>
                <w:rStyle w:val="-"/>
                <w:noProof/>
                <w:lang w:val="el-GR"/>
              </w:rPr>
              <w:t>)</w:t>
            </w:r>
            <w:r w:rsidR="0099151D">
              <w:rPr>
                <w:noProof/>
                <w:webHidden/>
              </w:rPr>
              <w:tab/>
            </w:r>
            <w:r w:rsidR="0099151D">
              <w:rPr>
                <w:noProof/>
                <w:webHidden/>
              </w:rPr>
              <w:fldChar w:fldCharType="begin"/>
            </w:r>
            <w:r w:rsidR="0099151D">
              <w:rPr>
                <w:noProof/>
                <w:webHidden/>
              </w:rPr>
              <w:instrText xml:space="preserve"> PAGEREF _Toc100851201 \h </w:instrText>
            </w:r>
            <w:r w:rsidR="0099151D">
              <w:rPr>
                <w:noProof/>
                <w:webHidden/>
              </w:rPr>
            </w:r>
            <w:r w:rsidR="0099151D">
              <w:rPr>
                <w:noProof/>
                <w:webHidden/>
              </w:rPr>
              <w:fldChar w:fldCharType="separate"/>
            </w:r>
            <w:r w:rsidR="00AA2BF2">
              <w:rPr>
                <w:noProof/>
                <w:webHidden/>
              </w:rPr>
              <w:t>6</w:t>
            </w:r>
            <w:r w:rsidR="0099151D">
              <w:rPr>
                <w:noProof/>
                <w:webHidden/>
              </w:rPr>
              <w:fldChar w:fldCharType="end"/>
            </w:r>
          </w:hyperlink>
        </w:p>
        <w:p w14:paraId="0A288953" w14:textId="414A9CC0" w:rsidR="0099151D" w:rsidRDefault="003853F0">
          <w:pPr>
            <w:pStyle w:val="20"/>
            <w:tabs>
              <w:tab w:val="right" w:leader="dot" w:pos="9350"/>
            </w:tabs>
            <w:rPr>
              <w:rFonts w:eastAsiaTheme="minorEastAsia"/>
              <w:noProof/>
            </w:rPr>
          </w:pPr>
          <w:hyperlink w:anchor="_Toc100851202" w:history="1">
            <w:r w:rsidR="0099151D" w:rsidRPr="00653FB2">
              <w:rPr>
                <w:rStyle w:val="-"/>
                <w:noProof/>
                <w:lang w:val="el-GR"/>
              </w:rPr>
              <w:t>3.2 Λεπτά Συστήματος (ΑΙΤ)</w:t>
            </w:r>
            <w:r w:rsidR="0099151D">
              <w:rPr>
                <w:noProof/>
                <w:webHidden/>
              </w:rPr>
              <w:tab/>
            </w:r>
            <w:r w:rsidR="0099151D">
              <w:rPr>
                <w:noProof/>
                <w:webHidden/>
              </w:rPr>
              <w:fldChar w:fldCharType="begin"/>
            </w:r>
            <w:r w:rsidR="0099151D">
              <w:rPr>
                <w:noProof/>
                <w:webHidden/>
              </w:rPr>
              <w:instrText xml:space="preserve"> PAGEREF _Toc100851202 \h </w:instrText>
            </w:r>
            <w:r w:rsidR="0099151D">
              <w:rPr>
                <w:noProof/>
                <w:webHidden/>
              </w:rPr>
            </w:r>
            <w:r w:rsidR="0099151D">
              <w:rPr>
                <w:noProof/>
                <w:webHidden/>
              </w:rPr>
              <w:fldChar w:fldCharType="separate"/>
            </w:r>
            <w:r w:rsidR="00AA2BF2">
              <w:rPr>
                <w:noProof/>
                <w:webHidden/>
              </w:rPr>
              <w:t>8</w:t>
            </w:r>
            <w:r w:rsidR="0099151D">
              <w:rPr>
                <w:noProof/>
                <w:webHidden/>
              </w:rPr>
              <w:fldChar w:fldCharType="end"/>
            </w:r>
          </w:hyperlink>
        </w:p>
        <w:p w14:paraId="5028F8D0" w14:textId="65ECD6E2" w:rsidR="0099151D" w:rsidRDefault="003853F0">
          <w:pPr>
            <w:pStyle w:val="10"/>
            <w:tabs>
              <w:tab w:val="left" w:pos="440"/>
              <w:tab w:val="right" w:leader="dot" w:pos="9350"/>
            </w:tabs>
            <w:rPr>
              <w:rFonts w:eastAsiaTheme="minorEastAsia"/>
              <w:noProof/>
            </w:rPr>
          </w:pPr>
          <w:hyperlink w:anchor="_Toc100851203" w:history="1">
            <w:r w:rsidR="0099151D" w:rsidRPr="00653FB2">
              <w:rPr>
                <w:rStyle w:val="-"/>
                <w:b/>
                <w:noProof/>
                <w:lang w:val="el-GR"/>
              </w:rPr>
              <w:t>4.</w:t>
            </w:r>
            <w:r w:rsidR="0099151D">
              <w:rPr>
                <w:rFonts w:eastAsiaTheme="minorEastAsia"/>
                <w:noProof/>
              </w:rPr>
              <w:tab/>
            </w:r>
            <w:r w:rsidR="0099151D" w:rsidRPr="00653FB2">
              <w:rPr>
                <w:rStyle w:val="-"/>
                <w:b/>
                <w:noProof/>
                <w:lang w:val="el-GR"/>
              </w:rPr>
              <w:t>Ποιότητα τροφοδότησης</w:t>
            </w:r>
            <w:r w:rsidR="0099151D">
              <w:rPr>
                <w:noProof/>
                <w:webHidden/>
              </w:rPr>
              <w:tab/>
            </w:r>
            <w:r w:rsidR="0099151D">
              <w:rPr>
                <w:noProof/>
                <w:webHidden/>
              </w:rPr>
              <w:fldChar w:fldCharType="begin"/>
            </w:r>
            <w:r w:rsidR="0099151D">
              <w:rPr>
                <w:noProof/>
                <w:webHidden/>
              </w:rPr>
              <w:instrText xml:space="preserve"> PAGEREF _Toc100851203 \h </w:instrText>
            </w:r>
            <w:r w:rsidR="0099151D">
              <w:rPr>
                <w:noProof/>
                <w:webHidden/>
              </w:rPr>
            </w:r>
            <w:r w:rsidR="0099151D">
              <w:rPr>
                <w:noProof/>
                <w:webHidden/>
              </w:rPr>
              <w:fldChar w:fldCharType="separate"/>
            </w:r>
            <w:r w:rsidR="00AA2BF2">
              <w:rPr>
                <w:noProof/>
                <w:webHidden/>
              </w:rPr>
              <w:t>9</w:t>
            </w:r>
            <w:r w:rsidR="0099151D">
              <w:rPr>
                <w:noProof/>
                <w:webHidden/>
              </w:rPr>
              <w:fldChar w:fldCharType="end"/>
            </w:r>
          </w:hyperlink>
        </w:p>
        <w:p w14:paraId="4EDE1E3A" w14:textId="7A363751" w:rsidR="0099151D" w:rsidRDefault="003853F0">
          <w:pPr>
            <w:pStyle w:val="20"/>
            <w:tabs>
              <w:tab w:val="right" w:leader="dot" w:pos="9350"/>
            </w:tabs>
            <w:rPr>
              <w:rFonts w:eastAsiaTheme="minorEastAsia"/>
              <w:noProof/>
            </w:rPr>
          </w:pPr>
          <w:hyperlink w:anchor="_Toc100851204" w:history="1">
            <w:r w:rsidR="0099151D" w:rsidRPr="00653FB2">
              <w:rPr>
                <w:rStyle w:val="-"/>
                <w:noProof/>
                <w:lang w:val="el-GR"/>
              </w:rPr>
              <w:t>4.1 Ρύθμιση Συχνότητας (</w:t>
            </w:r>
            <w:r w:rsidR="0099151D" w:rsidRPr="00653FB2">
              <w:rPr>
                <w:rStyle w:val="-"/>
                <w:noProof/>
              </w:rPr>
              <w:t>FRCE</w:t>
            </w:r>
            <w:r w:rsidR="0099151D" w:rsidRPr="00653FB2">
              <w:rPr>
                <w:rStyle w:val="-"/>
                <w:noProof/>
                <w:lang w:val="el-GR"/>
              </w:rPr>
              <w:t>)</w:t>
            </w:r>
            <w:r w:rsidR="0099151D">
              <w:rPr>
                <w:noProof/>
                <w:webHidden/>
              </w:rPr>
              <w:tab/>
            </w:r>
            <w:r w:rsidR="0099151D">
              <w:rPr>
                <w:noProof/>
                <w:webHidden/>
              </w:rPr>
              <w:fldChar w:fldCharType="begin"/>
            </w:r>
            <w:r w:rsidR="0099151D">
              <w:rPr>
                <w:noProof/>
                <w:webHidden/>
              </w:rPr>
              <w:instrText xml:space="preserve"> PAGEREF _Toc100851204 \h </w:instrText>
            </w:r>
            <w:r w:rsidR="0099151D">
              <w:rPr>
                <w:noProof/>
                <w:webHidden/>
              </w:rPr>
            </w:r>
            <w:r w:rsidR="0099151D">
              <w:rPr>
                <w:noProof/>
                <w:webHidden/>
              </w:rPr>
              <w:fldChar w:fldCharType="separate"/>
            </w:r>
            <w:r w:rsidR="00AA2BF2">
              <w:rPr>
                <w:noProof/>
                <w:webHidden/>
              </w:rPr>
              <w:t>9</w:t>
            </w:r>
            <w:r w:rsidR="0099151D">
              <w:rPr>
                <w:noProof/>
                <w:webHidden/>
              </w:rPr>
              <w:fldChar w:fldCharType="end"/>
            </w:r>
          </w:hyperlink>
        </w:p>
        <w:p w14:paraId="3A3A68AB" w14:textId="310CAA9A" w:rsidR="0099151D" w:rsidRDefault="003853F0">
          <w:pPr>
            <w:pStyle w:val="20"/>
            <w:tabs>
              <w:tab w:val="right" w:leader="dot" w:pos="9350"/>
            </w:tabs>
            <w:rPr>
              <w:rFonts w:eastAsiaTheme="minorEastAsia"/>
              <w:noProof/>
            </w:rPr>
          </w:pPr>
          <w:hyperlink w:anchor="_Toc100851205" w:history="1">
            <w:r w:rsidR="0099151D" w:rsidRPr="00653FB2">
              <w:rPr>
                <w:rStyle w:val="-"/>
                <w:noProof/>
                <w:lang w:val="el-GR"/>
              </w:rPr>
              <w:t>4.2 Απόκλιση Τάσης (</w:t>
            </w:r>
            <w:r w:rsidR="0099151D" w:rsidRPr="00653FB2">
              <w:rPr>
                <w:rStyle w:val="-"/>
                <w:noProof/>
              </w:rPr>
              <w:t>VDI</w:t>
            </w:r>
            <w:r w:rsidR="0099151D" w:rsidRPr="00653FB2">
              <w:rPr>
                <w:rStyle w:val="-"/>
                <w:noProof/>
                <w:lang w:val="el-GR"/>
              </w:rPr>
              <w:t>)</w:t>
            </w:r>
            <w:r w:rsidR="0099151D">
              <w:rPr>
                <w:noProof/>
                <w:webHidden/>
              </w:rPr>
              <w:tab/>
            </w:r>
            <w:r w:rsidR="0099151D">
              <w:rPr>
                <w:noProof/>
                <w:webHidden/>
              </w:rPr>
              <w:fldChar w:fldCharType="begin"/>
            </w:r>
            <w:r w:rsidR="0099151D">
              <w:rPr>
                <w:noProof/>
                <w:webHidden/>
              </w:rPr>
              <w:instrText xml:space="preserve"> PAGEREF _Toc100851205 \h </w:instrText>
            </w:r>
            <w:r w:rsidR="0099151D">
              <w:rPr>
                <w:noProof/>
                <w:webHidden/>
              </w:rPr>
            </w:r>
            <w:r w:rsidR="0099151D">
              <w:rPr>
                <w:noProof/>
                <w:webHidden/>
              </w:rPr>
              <w:fldChar w:fldCharType="separate"/>
            </w:r>
            <w:r w:rsidR="00AA2BF2">
              <w:rPr>
                <w:noProof/>
                <w:webHidden/>
              </w:rPr>
              <w:t>11</w:t>
            </w:r>
            <w:r w:rsidR="0099151D">
              <w:rPr>
                <w:noProof/>
                <w:webHidden/>
              </w:rPr>
              <w:fldChar w:fldCharType="end"/>
            </w:r>
          </w:hyperlink>
        </w:p>
        <w:p w14:paraId="6DCE3A8A" w14:textId="7B8989D7" w:rsidR="0099151D" w:rsidRDefault="003853F0">
          <w:pPr>
            <w:pStyle w:val="20"/>
            <w:tabs>
              <w:tab w:val="right" w:leader="dot" w:pos="9350"/>
            </w:tabs>
            <w:rPr>
              <w:rFonts w:eastAsiaTheme="minorEastAsia"/>
              <w:noProof/>
            </w:rPr>
          </w:pPr>
          <w:hyperlink w:anchor="_Toc100851206" w:history="1">
            <w:r w:rsidR="0099151D" w:rsidRPr="00653FB2">
              <w:rPr>
                <w:rStyle w:val="-"/>
                <w:noProof/>
                <w:lang w:val="el-GR"/>
              </w:rPr>
              <w:t>4.3 Απορριπτόμενη παραγωγή των ΑΠΕ (</w:t>
            </w:r>
            <w:r w:rsidR="0099151D" w:rsidRPr="00653FB2">
              <w:rPr>
                <w:rStyle w:val="-"/>
                <w:noProof/>
              </w:rPr>
              <w:t>RES</w:t>
            </w:r>
            <w:r w:rsidR="0099151D" w:rsidRPr="00653FB2">
              <w:rPr>
                <w:rStyle w:val="-"/>
                <w:noProof/>
                <w:lang w:val="el-GR"/>
              </w:rPr>
              <w:t xml:space="preserve"> </w:t>
            </w:r>
            <w:r w:rsidR="0099151D" w:rsidRPr="00653FB2">
              <w:rPr>
                <w:rStyle w:val="-"/>
                <w:noProof/>
              </w:rPr>
              <w:t>Curt</w:t>
            </w:r>
            <w:r w:rsidR="0099151D" w:rsidRPr="00653FB2">
              <w:rPr>
                <w:rStyle w:val="-"/>
                <w:noProof/>
                <w:lang w:val="el-GR"/>
              </w:rPr>
              <w:t>)</w:t>
            </w:r>
            <w:r w:rsidR="0099151D">
              <w:rPr>
                <w:noProof/>
                <w:webHidden/>
              </w:rPr>
              <w:tab/>
            </w:r>
            <w:r w:rsidR="0099151D">
              <w:rPr>
                <w:noProof/>
                <w:webHidden/>
              </w:rPr>
              <w:fldChar w:fldCharType="begin"/>
            </w:r>
            <w:r w:rsidR="0099151D">
              <w:rPr>
                <w:noProof/>
                <w:webHidden/>
              </w:rPr>
              <w:instrText xml:space="preserve"> PAGEREF _Toc100851206 \h </w:instrText>
            </w:r>
            <w:r w:rsidR="0099151D">
              <w:rPr>
                <w:noProof/>
                <w:webHidden/>
              </w:rPr>
            </w:r>
            <w:r w:rsidR="0099151D">
              <w:rPr>
                <w:noProof/>
                <w:webHidden/>
              </w:rPr>
              <w:fldChar w:fldCharType="separate"/>
            </w:r>
            <w:r w:rsidR="00AA2BF2">
              <w:rPr>
                <w:noProof/>
                <w:webHidden/>
              </w:rPr>
              <w:t>12</w:t>
            </w:r>
            <w:r w:rsidR="0099151D">
              <w:rPr>
                <w:noProof/>
                <w:webHidden/>
              </w:rPr>
              <w:fldChar w:fldCharType="end"/>
            </w:r>
          </w:hyperlink>
        </w:p>
        <w:p w14:paraId="1BA8B8D8" w14:textId="6F1D46DB" w:rsidR="0099151D" w:rsidRDefault="003853F0">
          <w:pPr>
            <w:pStyle w:val="20"/>
            <w:tabs>
              <w:tab w:val="right" w:leader="dot" w:pos="9350"/>
            </w:tabs>
            <w:rPr>
              <w:rFonts w:eastAsiaTheme="minorEastAsia"/>
              <w:noProof/>
            </w:rPr>
          </w:pPr>
          <w:hyperlink w:anchor="_Toc100851207" w:history="1">
            <w:r w:rsidR="0099151D" w:rsidRPr="00653FB2">
              <w:rPr>
                <w:rStyle w:val="-"/>
                <w:noProof/>
                <w:lang w:val="el-GR"/>
              </w:rPr>
              <w:t>4.4 Απώλειες Συστήματος</w:t>
            </w:r>
            <w:r w:rsidR="0099151D">
              <w:rPr>
                <w:noProof/>
                <w:webHidden/>
              </w:rPr>
              <w:tab/>
            </w:r>
            <w:r w:rsidR="0099151D">
              <w:rPr>
                <w:noProof/>
                <w:webHidden/>
              </w:rPr>
              <w:fldChar w:fldCharType="begin"/>
            </w:r>
            <w:r w:rsidR="0099151D">
              <w:rPr>
                <w:noProof/>
                <w:webHidden/>
              </w:rPr>
              <w:instrText xml:space="preserve"> PAGEREF _Toc100851207 \h </w:instrText>
            </w:r>
            <w:r w:rsidR="0099151D">
              <w:rPr>
                <w:noProof/>
                <w:webHidden/>
              </w:rPr>
            </w:r>
            <w:r w:rsidR="0099151D">
              <w:rPr>
                <w:noProof/>
                <w:webHidden/>
              </w:rPr>
              <w:fldChar w:fldCharType="separate"/>
            </w:r>
            <w:r w:rsidR="00AA2BF2">
              <w:rPr>
                <w:noProof/>
                <w:webHidden/>
              </w:rPr>
              <w:t>13</w:t>
            </w:r>
            <w:r w:rsidR="0099151D">
              <w:rPr>
                <w:noProof/>
                <w:webHidden/>
              </w:rPr>
              <w:fldChar w:fldCharType="end"/>
            </w:r>
          </w:hyperlink>
        </w:p>
        <w:p w14:paraId="32C801EC" w14:textId="5CEF089E" w:rsidR="0099151D" w:rsidRDefault="003853F0">
          <w:pPr>
            <w:pStyle w:val="10"/>
            <w:tabs>
              <w:tab w:val="left" w:pos="440"/>
              <w:tab w:val="right" w:leader="dot" w:pos="9350"/>
            </w:tabs>
            <w:rPr>
              <w:rFonts w:eastAsiaTheme="minorEastAsia"/>
              <w:noProof/>
            </w:rPr>
          </w:pPr>
          <w:hyperlink w:anchor="_Toc100851208" w:history="1">
            <w:r w:rsidR="0099151D" w:rsidRPr="00653FB2">
              <w:rPr>
                <w:rStyle w:val="-"/>
                <w:b/>
                <w:noProof/>
                <w:lang w:val="el-GR"/>
              </w:rPr>
              <w:t>5.</w:t>
            </w:r>
            <w:r w:rsidR="0099151D">
              <w:rPr>
                <w:rFonts w:eastAsiaTheme="minorEastAsia"/>
                <w:noProof/>
              </w:rPr>
              <w:tab/>
            </w:r>
            <w:r w:rsidR="0099151D" w:rsidRPr="00653FB2">
              <w:rPr>
                <w:rStyle w:val="-"/>
                <w:b/>
                <w:noProof/>
                <w:lang w:val="el-GR"/>
              </w:rPr>
              <w:t>Διαθεσιμότητα Συστήματος Μεταφοράς</w:t>
            </w:r>
            <w:r w:rsidR="0099151D">
              <w:rPr>
                <w:noProof/>
                <w:webHidden/>
              </w:rPr>
              <w:tab/>
            </w:r>
            <w:r w:rsidR="0099151D">
              <w:rPr>
                <w:noProof/>
                <w:webHidden/>
              </w:rPr>
              <w:fldChar w:fldCharType="begin"/>
            </w:r>
            <w:r w:rsidR="0099151D">
              <w:rPr>
                <w:noProof/>
                <w:webHidden/>
              </w:rPr>
              <w:instrText xml:space="preserve"> PAGEREF _Toc100851208 \h </w:instrText>
            </w:r>
            <w:r w:rsidR="0099151D">
              <w:rPr>
                <w:noProof/>
                <w:webHidden/>
              </w:rPr>
            </w:r>
            <w:r w:rsidR="0099151D">
              <w:rPr>
                <w:noProof/>
                <w:webHidden/>
              </w:rPr>
              <w:fldChar w:fldCharType="separate"/>
            </w:r>
            <w:r w:rsidR="00AA2BF2">
              <w:rPr>
                <w:noProof/>
                <w:webHidden/>
              </w:rPr>
              <w:t>14</w:t>
            </w:r>
            <w:r w:rsidR="0099151D">
              <w:rPr>
                <w:noProof/>
                <w:webHidden/>
              </w:rPr>
              <w:fldChar w:fldCharType="end"/>
            </w:r>
          </w:hyperlink>
        </w:p>
        <w:p w14:paraId="3DFE9134" w14:textId="4CE8DE19" w:rsidR="0099151D" w:rsidRDefault="003853F0">
          <w:pPr>
            <w:pStyle w:val="20"/>
            <w:tabs>
              <w:tab w:val="right" w:leader="dot" w:pos="9350"/>
            </w:tabs>
            <w:rPr>
              <w:rFonts w:eastAsiaTheme="minorEastAsia"/>
              <w:noProof/>
            </w:rPr>
          </w:pPr>
          <w:hyperlink w:anchor="_Toc100851209" w:history="1">
            <w:r w:rsidR="0099151D" w:rsidRPr="00653FB2">
              <w:rPr>
                <w:rStyle w:val="-"/>
                <w:noProof/>
                <w:lang w:val="el-GR"/>
              </w:rPr>
              <w:t>5.1 Διαθεσιμότητα επιμέρους κατηγοριών εξοπλισμού ΕΣΜΗΕ</w:t>
            </w:r>
            <w:r w:rsidR="0099151D">
              <w:rPr>
                <w:noProof/>
                <w:webHidden/>
              </w:rPr>
              <w:tab/>
            </w:r>
            <w:r w:rsidR="0099151D">
              <w:rPr>
                <w:noProof/>
                <w:webHidden/>
              </w:rPr>
              <w:fldChar w:fldCharType="begin"/>
            </w:r>
            <w:r w:rsidR="0099151D">
              <w:rPr>
                <w:noProof/>
                <w:webHidden/>
              </w:rPr>
              <w:instrText xml:space="preserve"> PAGEREF _Toc100851209 \h </w:instrText>
            </w:r>
            <w:r w:rsidR="0099151D">
              <w:rPr>
                <w:noProof/>
                <w:webHidden/>
              </w:rPr>
            </w:r>
            <w:r w:rsidR="0099151D">
              <w:rPr>
                <w:noProof/>
                <w:webHidden/>
              </w:rPr>
              <w:fldChar w:fldCharType="separate"/>
            </w:r>
            <w:r w:rsidR="00AA2BF2">
              <w:rPr>
                <w:noProof/>
                <w:webHidden/>
              </w:rPr>
              <w:t>14</w:t>
            </w:r>
            <w:r w:rsidR="0099151D">
              <w:rPr>
                <w:noProof/>
                <w:webHidden/>
              </w:rPr>
              <w:fldChar w:fldCharType="end"/>
            </w:r>
          </w:hyperlink>
        </w:p>
        <w:p w14:paraId="6A1542E4" w14:textId="57EE109F" w:rsidR="0099151D" w:rsidRDefault="003853F0">
          <w:pPr>
            <w:pStyle w:val="10"/>
            <w:tabs>
              <w:tab w:val="left" w:pos="440"/>
              <w:tab w:val="right" w:leader="dot" w:pos="9350"/>
            </w:tabs>
            <w:rPr>
              <w:rFonts w:eastAsiaTheme="minorEastAsia"/>
              <w:noProof/>
            </w:rPr>
          </w:pPr>
          <w:hyperlink w:anchor="_Toc100851210" w:history="1">
            <w:r w:rsidR="0099151D" w:rsidRPr="00653FB2">
              <w:rPr>
                <w:rStyle w:val="-"/>
                <w:b/>
                <w:noProof/>
                <w:lang w:val="el-GR"/>
              </w:rPr>
              <w:t>6.</w:t>
            </w:r>
            <w:r w:rsidR="0099151D">
              <w:rPr>
                <w:rFonts w:eastAsiaTheme="minorEastAsia"/>
                <w:noProof/>
              </w:rPr>
              <w:tab/>
            </w:r>
            <w:r w:rsidR="0099151D" w:rsidRPr="00653FB2">
              <w:rPr>
                <w:rStyle w:val="-"/>
                <w:b/>
                <w:noProof/>
                <w:lang w:val="el-GR"/>
              </w:rPr>
              <w:t>Αγορά εξισορρόπησης</w:t>
            </w:r>
            <w:r w:rsidR="0099151D">
              <w:rPr>
                <w:noProof/>
                <w:webHidden/>
              </w:rPr>
              <w:tab/>
            </w:r>
            <w:r w:rsidR="0099151D">
              <w:rPr>
                <w:noProof/>
                <w:webHidden/>
              </w:rPr>
              <w:fldChar w:fldCharType="begin"/>
            </w:r>
            <w:r w:rsidR="0099151D">
              <w:rPr>
                <w:noProof/>
                <w:webHidden/>
              </w:rPr>
              <w:instrText xml:space="preserve"> PAGEREF _Toc100851210 \h </w:instrText>
            </w:r>
            <w:r w:rsidR="0099151D">
              <w:rPr>
                <w:noProof/>
                <w:webHidden/>
              </w:rPr>
            </w:r>
            <w:r w:rsidR="0099151D">
              <w:rPr>
                <w:noProof/>
                <w:webHidden/>
              </w:rPr>
              <w:fldChar w:fldCharType="separate"/>
            </w:r>
            <w:r w:rsidR="00AA2BF2">
              <w:rPr>
                <w:noProof/>
                <w:webHidden/>
              </w:rPr>
              <w:t>17</w:t>
            </w:r>
            <w:r w:rsidR="0099151D">
              <w:rPr>
                <w:noProof/>
                <w:webHidden/>
              </w:rPr>
              <w:fldChar w:fldCharType="end"/>
            </w:r>
          </w:hyperlink>
        </w:p>
        <w:p w14:paraId="4CB41E36" w14:textId="24F36DB7" w:rsidR="0099151D" w:rsidRDefault="003853F0">
          <w:pPr>
            <w:pStyle w:val="20"/>
            <w:tabs>
              <w:tab w:val="right" w:leader="dot" w:pos="9350"/>
            </w:tabs>
            <w:rPr>
              <w:rFonts w:eastAsiaTheme="minorEastAsia"/>
              <w:noProof/>
            </w:rPr>
          </w:pPr>
          <w:hyperlink w:anchor="_Toc100851211" w:history="1">
            <w:r w:rsidR="0099151D" w:rsidRPr="00653FB2">
              <w:rPr>
                <w:rStyle w:val="-"/>
                <w:noProof/>
                <w:lang w:val="el-GR"/>
              </w:rPr>
              <w:t xml:space="preserve">6.1 Δείκτες Σφάλματος Πρόβλεψης - </w:t>
            </w:r>
            <w:r w:rsidR="0099151D" w:rsidRPr="00653FB2">
              <w:rPr>
                <w:rStyle w:val="-"/>
                <w:noProof/>
              </w:rPr>
              <w:t>Forecast</w:t>
            </w:r>
            <w:r w:rsidR="0099151D" w:rsidRPr="00653FB2">
              <w:rPr>
                <w:rStyle w:val="-"/>
                <w:noProof/>
                <w:lang w:val="el-GR"/>
              </w:rPr>
              <w:t xml:space="preserve"> </w:t>
            </w:r>
            <w:r w:rsidR="0099151D" w:rsidRPr="00653FB2">
              <w:rPr>
                <w:rStyle w:val="-"/>
                <w:noProof/>
              </w:rPr>
              <w:t>KPIs</w:t>
            </w:r>
            <w:r w:rsidR="0099151D">
              <w:rPr>
                <w:noProof/>
                <w:webHidden/>
              </w:rPr>
              <w:tab/>
            </w:r>
            <w:r w:rsidR="0099151D">
              <w:rPr>
                <w:noProof/>
                <w:webHidden/>
              </w:rPr>
              <w:fldChar w:fldCharType="begin"/>
            </w:r>
            <w:r w:rsidR="0099151D">
              <w:rPr>
                <w:noProof/>
                <w:webHidden/>
              </w:rPr>
              <w:instrText xml:space="preserve"> PAGEREF _Toc100851211 \h </w:instrText>
            </w:r>
            <w:r w:rsidR="0099151D">
              <w:rPr>
                <w:noProof/>
                <w:webHidden/>
              </w:rPr>
            </w:r>
            <w:r w:rsidR="0099151D">
              <w:rPr>
                <w:noProof/>
                <w:webHidden/>
              </w:rPr>
              <w:fldChar w:fldCharType="separate"/>
            </w:r>
            <w:r w:rsidR="00AA2BF2">
              <w:rPr>
                <w:noProof/>
                <w:webHidden/>
              </w:rPr>
              <w:t>17</w:t>
            </w:r>
            <w:r w:rsidR="0099151D">
              <w:rPr>
                <w:noProof/>
                <w:webHidden/>
              </w:rPr>
              <w:fldChar w:fldCharType="end"/>
            </w:r>
          </w:hyperlink>
        </w:p>
        <w:p w14:paraId="34F7E159" w14:textId="7C543106" w:rsidR="0099151D" w:rsidRDefault="003853F0">
          <w:pPr>
            <w:pStyle w:val="10"/>
            <w:tabs>
              <w:tab w:val="right" w:leader="dot" w:pos="9350"/>
            </w:tabs>
            <w:rPr>
              <w:rFonts w:eastAsiaTheme="minorEastAsia"/>
              <w:noProof/>
            </w:rPr>
          </w:pPr>
          <w:hyperlink w:anchor="_Toc100851212" w:history="1">
            <w:r w:rsidR="0099151D" w:rsidRPr="00653FB2">
              <w:rPr>
                <w:rStyle w:val="-"/>
                <w:b/>
                <w:bCs/>
                <w:noProof/>
                <w:lang w:val="el-GR"/>
              </w:rPr>
              <w:t>7. Συμπεράσματα</w:t>
            </w:r>
            <w:r w:rsidR="0099151D">
              <w:rPr>
                <w:noProof/>
                <w:webHidden/>
              </w:rPr>
              <w:tab/>
            </w:r>
            <w:r w:rsidR="0099151D">
              <w:rPr>
                <w:noProof/>
                <w:webHidden/>
              </w:rPr>
              <w:fldChar w:fldCharType="begin"/>
            </w:r>
            <w:r w:rsidR="0099151D">
              <w:rPr>
                <w:noProof/>
                <w:webHidden/>
              </w:rPr>
              <w:instrText xml:space="preserve"> PAGEREF _Toc100851212 \h </w:instrText>
            </w:r>
            <w:r w:rsidR="0099151D">
              <w:rPr>
                <w:noProof/>
                <w:webHidden/>
              </w:rPr>
            </w:r>
            <w:r w:rsidR="0099151D">
              <w:rPr>
                <w:noProof/>
                <w:webHidden/>
              </w:rPr>
              <w:fldChar w:fldCharType="separate"/>
            </w:r>
            <w:r w:rsidR="00AA2BF2">
              <w:rPr>
                <w:noProof/>
                <w:webHidden/>
              </w:rPr>
              <w:t>21</w:t>
            </w:r>
            <w:r w:rsidR="0099151D">
              <w:rPr>
                <w:noProof/>
                <w:webHidden/>
              </w:rPr>
              <w:fldChar w:fldCharType="end"/>
            </w:r>
          </w:hyperlink>
        </w:p>
        <w:p w14:paraId="394F26D2" w14:textId="248CE41B" w:rsidR="00A30D11" w:rsidRDefault="00A920BF">
          <w:pPr>
            <w:rPr>
              <w:lang w:val="el-GR"/>
            </w:rPr>
          </w:pPr>
          <w:r>
            <w:rPr>
              <w:lang w:val="el-GR"/>
            </w:rPr>
            <w:fldChar w:fldCharType="end"/>
          </w:r>
        </w:p>
      </w:sdtContent>
    </w:sdt>
    <w:p w14:paraId="2C912034" w14:textId="77777777" w:rsidR="00EC0B2A" w:rsidRDefault="00EC0B2A" w:rsidP="00EC0B2A">
      <w:pPr>
        <w:jc w:val="both"/>
        <w:rPr>
          <w:lang w:val="el-GR"/>
        </w:rPr>
      </w:pPr>
    </w:p>
    <w:p w14:paraId="568D4388" w14:textId="77777777" w:rsidR="00EC0B2A" w:rsidRDefault="00EC0B2A" w:rsidP="00EC0B2A">
      <w:pPr>
        <w:jc w:val="both"/>
        <w:rPr>
          <w:lang w:val="el-GR"/>
        </w:rPr>
      </w:pPr>
    </w:p>
    <w:p w14:paraId="04648DAE" w14:textId="77777777" w:rsidR="00A30D11" w:rsidRDefault="00A30D11" w:rsidP="00EC0B2A">
      <w:pPr>
        <w:jc w:val="both"/>
      </w:pPr>
    </w:p>
    <w:p w14:paraId="209BF473" w14:textId="77777777" w:rsidR="00A30D11" w:rsidRDefault="00A30D11" w:rsidP="00EC0B2A">
      <w:pPr>
        <w:jc w:val="both"/>
      </w:pPr>
    </w:p>
    <w:p w14:paraId="19FDA803" w14:textId="77777777" w:rsidR="00A30D11" w:rsidRDefault="00A30D11" w:rsidP="00EC0B2A">
      <w:pPr>
        <w:jc w:val="both"/>
      </w:pPr>
    </w:p>
    <w:p w14:paraId="33233277" w14:textId="77777777" w:rsidR="00A30D11" w:rsidRDefault="00A30D11" w:rsidP="00EC0B2A">
      <w:pPr>
        <w:jc w:val="both"/>
      </w:pPr>
    </w:p>
    <w:p w14:paraId="6853BB9F" w14:textId="77777777" w:rsidR="00A30D11" w:rsidRDefault="00A30D11" w:rsidP="00EC0B2A">
      <w:pPr>
        <w:jc w:val="both"/>
      </w:pPr>
    </w:p>
    <w:p w14:paraId="6F51AC09" w14:textId="77777777" w:rsidR="00A30D11" w:rsidRDefault="00A30D11" w:rsidP="00EC0B2A">
      <w:pPr>
        <w:jc w:val="both"/>
      </w:pPr>
    </w:p>
    <w:p w14:paraId="2B41B6FA" w14:textId="77777777" w:rsidR="00A30D11" w:rsidRDefault="00A30D11" w:rsidP="00EC0B2A">
      <w:pPr>
        <w:jc w:val="both"/>
      </w:pPr>
    </w:p>
    <w:p w14:paraId="13156944" w14:textId="77777777" w:rsidR="00A30D11" w:rsidRDefault="00A30D11" w:rsidP="00EC0B2A">
      <w:pPr>
        <w:jc w:val="both"/>
      </w:pPr>
    </w:p>
    <w:p w14:paraId="37742461" w14:textId="77777777" w:rsidR="00A30D11" w:rsidRDefault="00A30D11" w:rsidP="00EC0B2A">
      <w:pPr>
        <w:jc w:val="both"/>
      </w:pPr>
    </w:p>
    <w:p w14:paraId="7DA46C6F" w14:textId="77777777" w:rsidR="0088305E" w:rsidRPr="0088305E" w:rsidRDefault="0088305E" w:rsidP="0088305E">
      <w:pPr>
        <w:pStyle w:val="1"/>
        <w:numPr>
          <w:ilvl w:val="0"/>
          <w:numId w:val="45"/>
        </w:numPr>
        <w:rPr>
          <w:b/>
          <w:color w:val="auto"/>
          <w:lang w:val="el-GR"/>
        </w:rPr>
      </w:pPr>
      <w:bookmarkStart w:id="0" w:name="_Toc100851198"/>
      <w:r w:rsidRPr="0088305E">
        <w:rPr>
          <w:b/>
          <w:color w:val="auto"/>
          <w:lang w:val="el-GR"/>
        </w:rPr>
        <w:lastRenderedPageBreak/>
        <w:t>Εισαγωγή</w:t>
      </w:r>
      <w:bookmarkEnd w:id="0"/>
    </w:p>
    <w:p w14:paraId="27E0DE4E" w14:textId="77777777" w:rsidR="0088305E" w:rsidRDefault="0088305E" w:rsidP="00EC0B2A">
      <w:pPr>
        <w:jc w:val="both"/>
        <w:rPr>
          <w:lang w:val="el-GR"/>
        </w:rPr>
      </w:pPr>
    </w:p>
    <w:p w14:paraId="78BD131A" w14:textId="77777777" w:rsidR="0086702A" w:rsidRPr="000334CE" w:rsidRDefault="0086702A" w:rsidP="0086702A">
      <w:pPr>
        <w:jc w:val="both"/>
        <w:rPr>
          <w:lang w:val="el-GR"/>
        </w:rPr>
      </w:pPr>
      <w:r w:rsidRPr="0086702A">
        <w:rPr>
          <w:lang w:val="el-GR"/>
        </w:rPr>
        <w:t>Σκοπός του</w:t>
      </w:r>
      <w:r w:rsidR="008416F9">
        <w:rPr>
          <w:lang w:val="el-GR"/>
        </w:rPr>
        <w:t xml:space="preserve"> Διαχειριστή</w:t>
      </w:r>
      <w:r w:rsidRPr="0086702A">
        <w:rPr>
          <w:lang w:val="el-GR"/>
        </w:rPr>
        <w:t xml:space="preserve"> </w:t>
      </w:r>
      <w:r w:rsidR="008416F9">
        <w:rPr>
          <w:lang w:val="el-GR"/>
        </w:rPr>
        <w:t>(</w:t>
      </w:r>
      <w:r w:rsidRPr="0086702A">
        <w:rPr>
          <w:lang w:val="el-GR"/>
        </w:rPr>
        <w:t>ΑΔΜΗΕ</w:t>
      </w:r>
      <w:r w:rsidR="008416F9">
        <w:rPr>
          <w:lang w:val="el-GR"/>
        </w:rPr>
        <w:t>)</w:t>
      </w:r>
      <w:r w:rsidRPr="0086702A">
        <w:rPr>
          <w:lang w:val="el-GR"/>
        </w:rPr>
        <w:t xml:space="preserve"> είναι η λειτουργία, ο έλεγχος, η συντήρηση και η ανάπτυξη του Ελληνικού Συστήματος Μεταφοράς Ηλεκτρικής Ενέργειας (ΕΣΜΗΕ), ώστε να διασφαλίζεται ο εφοδιασμός της χώρας με ηλεκτρική ενέργεια, με τρόπο επαρκή, ασφαλή, αποδοτικό και αξιόπιστο καθώς και η λειτουργία της αγοράς</w:t>
      </w:r>
      <w:r w:rsidR="00351095">
        <w:rPr>
          <w:lang w:val="el-GR"/>
        </w:rPr>
        <w:t xml:space="preserve"> εξισορρόπησης</w:t>
      </w:r>
      <w:r w:rsidRPr="0086702A">
        <w:rPr>
          <w:lang w:val="el-GR"/>
        </w:rPr>
        <w:t xml:space="preserve"> ηλεκτρικής ενέργειας </w:t>
      </w:r>
      <w:r w:rsidR="00615F92">
        <w:rPr>
          <w:lang w:val="el-GR"/>
        </w:rPr>
        <w:t xml:space="preserve">και του διασυνοριακού εμπορίου </w:t>
      </w:r>
      <w:r w:rsidRPr="0086702A">
        <w:rPr>
          <w:lang w:val="el-GR"/>
        </w:rPr>
        <w:t>σύμφωνα με τις αρχές της διαφάνειας, της ισότητας και του ελεύθερου ανταγωνισμού</w:t>
      </w:r>
      <w:r w:rsidR="000334CE" w:rsidRPr="000334CE">
        <w:rPr>
          <w:lang w:val="el-GR"/>
        </w:rPr>
        <w:t>.</w:t>
      </w:r>
    </w:p>
    <w:p w14:paraId="0892B234" w14:textId="77777777" w:rsidR="00EC0B2A" w:rsidRDefault="00EC0B2A" w:rsidP="00EC0B2A">
      <w:pPr>
        <w:jc w:val="both"/>
        <w:rPr>
          <w:lang w:val="el-GR"/>
        </w:rPr>
      </w:pPr>
      <w:r w:rsidRPr="001D7199">
        <w:rPr>
          <w:lang w:val="el-GR"/>
        </w:rPr>
        <w:t>Η παρακολούθηση της απόδοσης λειτουργίας του Συστήματος Μεταφοράς είναι καθιερωμένη πρακτική των διαχειριστών σε πολλές χώρες και συνίσταται στην δημοσίευση συγκεκριμένων εκθέσεων που περιγράφουν τη συμπεριφορά του Συστήματος για συγκεκριμένη χρονική περίοδο ως προς την ασφάλεια, διαθεσιμότητα και ποιότητα υπηρεσιών στους Χρήστες, παρουσιάζοντας σχετικούς στατιστικούς δείκτες απόδοσης του Συστήματος Μεταφοράς.</w:t>
      </w:r>
    </w:p>
    <w:p w14:paraId="7ECB1BC6" w14:textId="77777777" w:rsidR="009773F4" w:rsidRPr="009773F4" w:rsidRDefault="009773F4" w:rsidP="009773F4">
      <w:pPr>
        <w:jc w:val="both"/>
        <w:rPr>
          <w:lang w:val="el-GR"/>
        </w:rPr>
      </w:pPr>
      <w:r>
        <w:rPr>
          <w:lang w:val="el-GR"/>
        </w:rPr>
        <w:t>Η</w:t>
      </w:r>
      <w:r w:rsidRPr="009773F4">
        <w:rPr>
          <w:lang w:val="el-GR"/>
        </w:rPr>
        <w:t xml:space="preserve"> διαδικασία καταγραφής της απόδοσης του Συστήματος Μεταφοράς</w:t>
      </w:r>
      <w:r w:rsidR="00CB5A12">
        <w:rPr>
          <w:lang w:val="el-GR"/>
        </w:rPr>
        <w:t xml:space="preserve"> κατ’ έτος</w:t>
      </w:r>
      <w:r w:rsidRPr="009773F4">
        <w:rPr>
          <w:lang w:val="el-GR"/>
        </w:rPr>
        <w:t xml:space="preserve"> θα επιτρέψει:</w:t>
      </w:r>
    </w:p>
    <w:p w14:paraId="50F5858C" w14:textId="77777777" w:rsidR="005D4E69" w:rsidRPr="005D4E69" w:rsidRDefault="009773F4" w:rsidP="005D4E69">
      <w:pPr>
        <w:pStyle w:val="a3"/>
        <w:numPr>
          <w:ilvl w:val="0"/>
          <w:numId w:val="46"/>
        </w:numPr>
        <w:spacing w:after="0" w:line="240" w:lineRule="auto"/>
        <w:jc w:val="both"/>
        <w:textAlignment w:val="baseline"/>
        <w:rPr>
          <w:rFonts w:eastAsia="Times New Roman" w:cstheme="minorHAnsi"/>
          <w:color w:val="333333"/>
          <w:lang w:val="el-GR" w:eastAsia="el-GR"/>
        </w:rPr>
      </w:pPr>
      <w:r w:rsidRPr="005D4E69">
        <w:rPr>
          <w:lang w:val="el-GR"/>
        </w:rPr>
        <w:t>Την παρακολούθηση των παραμέτρων λειτουργίας του Συστήματος Μεταφοράς με διαφανή τρόπο</w:t>
      </w:r>
      <w:r w:rsidR="00232DC3">
        <w:rPr>
          <w:lang w:val="el-GR"/>
        </w:rPr>
        <w:t>,</w:t>
      </w:r>
    </w:p>
    <w:p w14:paraId="76112732" w14:textId="77777777" w:rsidR="005D4E69" w:rsidRPr="005D4E69" w:rsidRDefault="005D4E69" w:rsidP="005D4E69">
      <w:pPr>
        <w:pStyle w:val="a3"/>
        <w:numPr>
          <w:ilvl w:val="0"/>
          <w:numId w:val="46"/>
        </w:numPr>
        <w:spacing w:after="0" w:line="240" w:lineRule="auto"/>
        <w:jc w:val="both"/>
        <w:textAlignment w:val="baseline"/>
        <w:rPr>
          <w:rFonts w:eastAsia="Times New Roman" w:cstheme="minorHAnsi"/>
          <w:color w:val="333333"/>
          <w:lang w:val="el-GR" w:eastAsia="el-GR"/>
        </w:rPr>
      </w:pPr>
      <w:r w:rsidRPr="005D4E69">
        <w:rPr>
          <w:rFonts w:eastAsia="Times New Roman" w:cstheme="minorHAnsi"/>
          <w:color w:val="333333"/>
          <w:lang w:val="el-GR" w:eastAsia="el-GR"/>
        </w:rPr>
        <w:t>Τη συνολική αποτύπωση της κατάστασης των Στοιχείων του Συστήματος Μεταφοράς καθώς και την εξέλιξη της στο χρόνο</w:t>
      </w:r>
      <w:r w:rsidR="00232DC3">
        <w:rPr>
          <w:rFonts w:eastAsia="Times New Roman" w:cstheme="minorHAnsi"/>
          <w:color w:val="333333"/>
          <w:lang w:val="el-GR" w:eastAsia="el-GR"/>
        </w:rPr>
        <w:t>,</w:t>
      </w:r>
    </w:p>
    <w:p w14:paraId="0B19931E" w14:textId="77777777" w:rsidR="009773F4" w:rsidRDefault="009773F4" w:rsidP="009773F4">
      <w:pPr>
        <w:pStyle w:val="a3"/>
        <w:numPr>
          <w:ilvl w:val="0"/>
          <w:numId w:val="46"/>
        </w:numPr>
        <w:jc w:val="both"/>
        <w:rPr>
          <w:lang w:val="el-GR"/>
        </w:rPr>
      </w:pPr>
      <w:r w:rsidRPr="009773F4">
        <w:rPr>
          <w:lang w:val="el-GR"/>
        </w:rPr>
        <w:t>Τη δημιουργία μιας βάσης αναφοράς έτσι ώστε να είναι δυνατή η παρακολούθηση των σχετικών μεγεθών διαχρονικά</w:t>
      </w:r>
      <w:r w:rsidR="00232DC3">
        <w:rPr>
          <w:lang w:val="el-GR"/>
        </w:rPr>
        <w:t>,</w:t>
      </w:r>
    </w:p>
    <w:p w14:paraId="6F2D9361" w14:textId="77777777" w:rsidR="00615F92" w:rsidRPr="009773F4" w:rsidRDefault="00615F92" w:rsidP="00615F92">
      <w:pPr>
        <w:pStyle w:val="a3"/>
        <w:numPr>
          <w:ilvl w:val="0"/>
          <w:numId w:val="46"/>
        </w:numPr>
        <w:jc w:val="both"/>
        <w:rPr>
          <w:lang w:val="el-GR"/>
        </w:rPr>
      </w:pPr>
      <w:r w:rsidRPr="009773F4">
        <w:rPr>
          <w:lang w:val="el-GR"/>
        </w:rPr>
        <w:t>Τη συλλογή στοιχείων για τη διερεύνηση τόσο των παραμέτρων όσο και των ρεαλιστικών τιμών τους για το σχεδιασμό μηχανισμών κινήτρων ή κυρώσεων</w:t>
      </w:r>
      <w:r>
        <w:rPr>
          <w:lang w:val="el-GR"/>
        </w:rPr>
        <w:t xml:space="preserve"> (</w:t>
      </w:r>
      <w:r>
        <w:t>incentive</w:t>
      </w:r>
      <w:r w:rsidRPr="00607CA6">
        <w:rPr>
          <w:lang w:val="el-GR"/>
        </w:rPr>
        <w:t xml:space="preserve"> </w:t>
      </w:r>
      <w:r>
        <w:t>regulation</w:t>
      </w:r>
      <w:r w:rsidRPr="000334CE">
        <w:rPr>
          <w:lang w:val="el-GR"/>
        </w:rPr>
        <w:t>)</w:t>
      </w:r>
      <w:r w:rsidRPr="009773F4">
        <w:rPr>
          <w:lang w:val="el-GR"/>
        </w:rPr>
        <w:t xml:space="preserve"> σε σχέση με την απόδοση του Συστήματος Μεταφοράς</w:t>
      </w:r>
      <w:r w:rsidR="00232DC3">
        <w:rPr>
          <w:lang w:val="el-GR"/>
        </w:rPr>
        <w:t>.</w:t>
      </w:r>
    </w:p>
    <w:p w14:paraId="427BD3E5" w14:textId="77777777" w:rsidR="00615F92" w:rsidRPr="00615F92" w:rsidRDefault="00615F92" w:rsidP="00615F92">
      <w:pPr>
        <w:ind w:left="360"/>
        <w:jc w:val="both"/>
        <w:rPr>
          <w:lang w:val="el-GR"/>
        </w:rPr>
      </w:pPr>
    </w:p>
    <w:p w14:paraId="237CC226" w14:textId="77777777" w:rsidR="00EC0B2A" w:rsidRDefault="00EC0B2A" w:rsidP="00EC0B2A">
      <w:pPr>
        <w:pStyle w:val="2"/>
        <w:rPr>
          <w:b/>
          <w:color w:val="auto"/>
          <w:lang w:val="el-GR"/>
        </w:rPr>
      </w:pPr>
    </w:p>
    <w:p w14:paraId="0430EA00" w14:textId="77777777" w:rsidR="009B28BA" w:rsidRDefault="009B28BA" w:rsidP="009B28BA">
      <w:pPr>
        <w:rPr>
          <w:lang w:val="el-GR"/>
        </w:rPr>
      </w:pPr>
    </w:p>
    <w:p w14:paraId="638DAC55" w14:textId="77777777" w:rsidR="009B28BA" w:rsidRPr="009B28BA" w:rsidRDefault="009B28BA" w:rsidP="009B28BA">
      <w:pPr>
        <w:rPr>
          <w:lang w:val="el-GR"/>
        </w:rPr>
      </w:pPr>
    </w:p>
    <w:p w14:paraId="4D192AC5" w14:textId="77777777" w:rsidR="00EC0B2A" w:rsidRDefault="00EC0B2A" w:rsidP="00EC0B2A">
      <w:pPr>
        <w:pStyle w:val="2"/>
        <w:rPr>
          <w:b/>
          <w:color w:val="auto"/>
          <w:lang w:val="el-GR"/>
        </w:rPr>
      </w:pPr>
    </w:p>
    <w:p w14:paraId="598AA500" w14:textId="77777777" w:rsidR="00EC0B2A" w:rsidRDefault="00EC0B2A" w:rsidP="00EC0B2A">
      <w:pPr>
        <w:pStyle w:val="2"/>
        <w:rPr>
          <w:b/>
          <w:color w:val="auto"/>
          <w:lang w:val="el-GR"/>
        </w:rPr>
      </w:pPr>
    </w:p>
    <w:p w14:paraId="36E8DE3F" w14:textId="77777777" w:rsidR="00EC0B2A" w:rsidRDefault="00EC0B2A" w:rsidP="00EC0B2A">
      <w:pPr>
        <w:pStyle w:val="2"/>
        <w:rPr>
          <w:b/>
          <w:color w:val="auto"/>
          <w:lang w:val="el-GR"/>
        </w:rPr>
      </w:pPr>
    </w:p>
    <w:p w14:paraId="1EA2EA49" w14:textId="77777777" w:rsidR="00EC0B2A" w:rsidRDefault="00EC0B2A" w:rsidP="00EC0B2A">
      <w:pPr>
        <w:pStyle w:val="2"/>
        <w:rPr>
          <w:b/>
          <w:color w:val="auto"/>
          <w:lang w:val="el-GR"/>
        </w:rPr>
      </w:pPr>
    </w:p>
    <w:p w14:paraId="6B02AC5D" w14:textId="77777777" w:rsidR="00EC0B2A" w:rsidRDefault="00EC0B2A" w:rsidP="00EC0B2A">
      <w:pPr>
        <w:pStyle w:val="2"/>
        <w:rPr>
          <w:b/>
          <w:color w:val="auto"/>
          <w:lang w:val="el-GR"/>
        </w:rPr>
      </w:pPr>
    </w:p>
    <w:p w14:paraId="609B4E50" w14:textId="77777777" w:rsidR="00EC0B2A" w:rsidRDefault="00EC0B2A" w:rsidP="00EC0B2A">
      <w:pPr>
        <w:pStyle w:val="2"/>
        <w:rPr>
          <w:b/>
          <w:color w:val="auto"/>
          <w:lang w:val="el-GR"/>
        </w:rPr>
      </w:pPr>
    </w:p>
    <w:p w14:paraId="41184DDF" w14:textId="77777777" w:rsidR="00EC0B2A" w:rsidRDefault="00EC0B2A" w:rsidP="00EC0B2A">
      <w:pPr>
        <w:pStyle w:val="2"/>
        <w:rPr>
          <w:b/>
          <w:color w:val="auto"/>
          <w:lang w:val="el-GR"/>
        </w:rPr>
      </w:pPr>
    </w:p>
    <w:p w14:paraId="5C7032AF" w14:textId="77777777" w:rsidR="00EC0B2A" w:rsidRDefault="00EC0B2A" w:rsidP="00EC0B2A">
      <w:pPr>
        <w:pStyle w:val="2"/>
        <w:rPr>
          <w:b/>
          <w:color w:val="auto"/>
          <w:lang w:val="el-GR"/>
        </w:rPr>
      </w:pPr>
    </w:p>
    <w:p w14:paraId="57555923" w14:textId="77777777" w:rsidR="00EC0B2A" w:rsidRDefault="00EC0B2A" w:rsidP="00EC0B2A">
      <w:pPr>
        <w:pStyle w:val="2"/>
        <w:rPr>
          <w:b/>
          <w:color w:val="auto"/>
          <w:lang w:val="el-GR"/>
        </w:rPr>
      </w:pPr>
    </w:p>
    <w:p w14:paraId="00496D55" w14:textId="77777777" w:rsidR="00B404BD" w:rsidRPr="00BF4AE0" w:rsidRDefault="00B404BD" w:rsidP="00106335">
      <w:pPr>
        <w:rPr>
          <w:lang w:val="el-GR"/>
        </w:rPr>
      </w:pPr>
    </w:p>
    <w:p w14:paraId="1BF412A6" w14:textId="77777777" w:rsidR="00EC0B2A" w:rsidRPr="0088305E" w:rsidRDefault="001C4057" w:rsidP="0088305E">
      <w:pPr>
        <w:pStyle w:val="1"/>
        <w:numPr>
          <w:ilvl w:val="0"/>
          <w:numId w:val="45"/>
        </w:numPr>
        <w:rPr>
          <w:b/>
          <w:color w:val="auto"/>
          <w:lang w:val="el-GR"/>
        </w:rPr>
      </w:pPr>
      <w:bookmarkStart w:id="1" w:name="_Toc100851199"/>
      <w:r>
        <w:rPr>
          <w:b/>
          <w:color w:val="auto"/>
          <w:lang w:val="el-GR"/>
        </w:rPr>
        <w:lastRenderedPageBreak/>
        <w:t>Νομικό</w:t>
      </w:r>
      <w:r w:rsidR="00EC0B2A" w:rsidRPr="0088305E">
        <w:rPr>
          <w:b/>
          <w:color w:val="auto"/>
          <w:lang w:val="el-GR"/>
        </w:rPr>
        <w:t xml:space="preserve"> πλαίσιο</w:t>
      </w:r>
      <w:bookmarkEnd w:id="1"/>
    </w:p>
    <w:p w14:paraId="7D7C29B1" w14:textId="77777777" w:rsidR="0088305E" w:rsidRDefault="0088305E" w:rsidP="00EC0B2A">
      <w:pPr>
        <w:tabs>
          <w:tab w:val="left" w:pos="6145"/>
        </w:tabs>
        <w:jc w:val="both"/>
        <w:rPr>
          <w:lang w:val="el-GR"/>
        </w:rPr>
      </w:pPr>
    </w:p>
    <w:p w14:paraId="1F586D27" w14:textId="77777777" w:rsidR="00EC0B2A" w:rsidRPr="006A7B21" w:rsidRDefault="00EC0B2A" w:rsidP="00EC0B2A">
      <w:pPr>
        <w:tabs>
          <w:tab w:val="left" w:pos="6145"/>
        </w:tabs>
        <w:jc w:val="both"/>
        <w:rPr>
          <w:lang w:val="el-GR"/>
        </w:rPr>
      </w:pPr>
      <w:r w:rsidRPr="006A7B21">
        <w:rPr>
          <w:lang w:val="el-GR"/>
        </w:rPr>
        <w:t xml:space="preserve">Η </w:t>
      </w:r>
      <w:r w:rsidRPr="006A7B21">
        <w:rPr>
          <w:b/>
          <w:bCs/>
          <w:lang w:val="el-GR"/>
        </w:rPr>
        <w:t>Ρυθμιστική Αρχή Ενέργειας (ΡΑΕ)</w:t>
      </w:r>
      <w:r w:rsidRPr="006A7B21">
        <w:rPr>
          <w:lang w:val="el-GR"/>
        </w:rPr>
        <w:t xml:space="preserve"> στ</w:t>
      </w:r>
      <w:r>
        <w:rPr>
          <w:lang w:val="el-GR"/>
        </w:rPr>
        <w:t>ο</w:t>
      </w:r>
      <w:r w:rsidR="001C4057">
        <w:rPr>
          <w:lang w:val="el-GR"/>
        </w:rPr>
        <w:t xml:space="preserve"> πλαίσιο</w:t>
      </w:r>
      <w:r w:rsidRPr="006A7B21">
        <w:rPr>
          <w:lang w:val="el-GR"/>
        </w:rPr>
        <w:t xml:space="preserve"> των αρμοδιοτήτων της που </w:t>
      </w:r>
      <w:r w:rsidRPr="00E9068B">
        <w:rPr>
          <w:bCs/>
          <w:lang w:val="el-GR"/>
        </w:rPr>
        <w:t xml:space="preserve">καθορίζονται </w:t>
      </w:r>
      <w:r w:rsidR="00E9068B">
        <w:rPr>
          <w:b/>
          <w:bCs/>
          <w:lang w:val="el-GR"/>
        </w:rPr>
        <w:t>στο Ά</w:t>
      </w:r>
      <w:r w:rsidRPr="001D7199">
        <w:rPr>
          <w:b/>
          <w:bCs/>
          <w:lang w:val="el-GR"/>
        </w:rPr>
        <w:t>ρθρο 59</w:t>
      </w:r>
      <w:r w:rsidR="001C4057">
        <w:rPr>
          <w:b/>
          <w:bCs/>
          <w:lang w:val="el-GR"/>
        </w:rPr>
        <w:t xml:space="preserve"> </w:t>
      </w:r>
      <w:r w:rsidR="001C4057" w:rsidRPr="00E9068B">
        <w:rPr>
          <w:bCs/>
          <w:i/>
          <w:lang w:val="el-GR"/>
        </w:rPr>
        <w:t>«Καθήκοντα και αρμοδιότητες της ρυθμιστικής αρχής»</w:t>
      </w:r>
      <w:r w:rsidRPr="001D7199">
        <w:rPr>
          <w:b/>
          <w:bCs/>
          <w:lang w:val="el-GR"/>
        </w:rPr>
        <w:t xml:space="preserve"> της 944/2019 Οδηγίας της ΕΕ</w:t>
      </w:r>
      <w:r w:rsidR="00E9068B" w:rsidRPr="00E9068B">
        <w:rPr>
          <w:b/>
          <w:bCs/>
          <w:lang w:val="el-GR"/>
        </w:rPr>
        <w:t xml:space="preserve"> </w:t>
      </w:r>
      <w:r w:rsidR="00E9068B" w:rsidRPr="00E9068B">
        <w:rPr>
          <w:b/>
          <w:bCs/>
          <w:i/>
          <w:lang w:val="el-GR"/>
        </w:rPr>
        <w:t>«</w:t>
      </w:r>
      <w:r w:rsidR="00E9068B" w:rsidRPr="00E9068B">
        <w:rPr>
          <w:i/>
          <w:lang w:val="el-GR"/>
        </w:rPr>
        <w:t>σχετικά με τους κοινούς κανόνες για την εσωτερική αγορά ηλεκτρικής ενέργειας και την τροποποίηση της οδηγίας 2012/27/ΕΕ»</w:t>
      </w:r>
      <w:r w:rsidR="00E9068B" w:rsidRPr="00E9068B">
        <w:rPr>
          <w:lang w:val="el-GR"/>
        </w:rPr>
        <w:t xml:space="preserve"> </w:t>
      </w:r>
      <w:r w:rsidRPr="006A7B21">
        <w:rPr>
          <w:lang w:val="el-GR"/>
        </w:rPr>
        <w:t>υποχρεούται:</w:t>
      </w:r>
    </w:p>
    <w:p w14:paraId="1E6042C4" w14:textId="77777777" w:rsidR="00EC0B2A" w:rsidRDefault="00EC0B2A" w:rsidP="00EC0B2A">
      <w:pPr>
        <w:tabs>
          <w:tab w:val="left" w:pos="6145"/>
        </w:tabs>
        <w:jc w:val="both"/>
        <w:rPr>
          <w:b/>
          <w:bCs/>
          <w:i/>
          <w:iCs/>
          <w:lang w:val="el-GR"/>
        </w:rPr>
      </w:pPr>
      <w:r w:rsidRPr="006A7B21">
        <w:rPr>
          <w:b/>
          <w:bCs/>
          <w:i/>
          <w:iCs/>
          <w:lang w:val="el-GR"/>
        </w:rPr>
        <w:t>«Να παρακολουθεί και να εκτιμά τις επιδόσεις των διαχειριστών συστημάτων μεταφοράς και των διαχειριστών συστημάτων διανομής όσον αφορά την ανάπτυξη έξυπνου δικτύου το οποίο προωθεί την ενεργειακή απόδοση και την ενσωμάτωση των ανανεώσιμων πηγών ενέργειας βάσει ενός περιορισμένου συνόλου δεικτών, και να δημοσιεύει εθνική έκθεση ανά διετία στην οποία περιλαμβάνονται, κατά περίπτωση, συστάσεις.»</w:t>
      </w:r>
    </w:p>
    <w:p w14:paraId="6DEE2B9F" w14:textId="1A0D2D9C" w:rsidR="00EC0B2A" w:rsidRDefault="002035BE" w:rsidP="002035BE">
      <w:pPr>
        <w:jc w:val="both"/>
        <w:rPr>
          <w:lang w:val="el-GR"/>
        </w:rPr>
      </w:pPr>
      <w:r>
        <w:rPr>
          <w:lang w:val="el-GR"/>
        </w:rPr>
        <w:t>Ο</w:t>
      </w:r>
      <w:r w:rsidRPr="0086702A">
        <w:rPr>
          <w:lang w:val="el-GR"/>
        </w:rPr>
        <w:t xml:space="preserve"> Ανεξάρτητος Διαχειριστής Μεταφοράς Ηλεκτρικής Ενέργειας Α.Ε. (ΑΔΜΗΕ Α.Ε.) συστάθηκε με τον Ν. 4001/2011 και οργανώθηκε και λειτουργεί ως Ανεξάρτητος Διαχειριστής Μεταφοράς κατά τις διατάξεις της Οδηγίας 2009/72/ΕΚ της Ευρωπαϊκής Ένωσης.</w:t>
      </w:r>
      <w:r>
        <w:rPr>
          <w:lang w:val="el-GR"/>
        </w:rPr>
        <w:t xml:space="preserve"> </w:t>
      </w:r>
      <w:r w:rsidR="00EC0B2A" w:rsidRPr="009522B2">
        <w:rPr>
          <w:b/>
          <w:bCs/>
          <w:lang w:val="el-GR"/>
        </w:rPr>
        <w:t>Με τ</w:t>
      </w:r>
      <w:r w:rsidR="009522B2" w:rsidRPr="009522B2">
        <w:rPr>
          <w:b/>
          <w:bCs/>
          <w:lang w:val="el-GR"/>
        </w:rPr>
        <w:t>ην παράγραφο 2 του</w:t>
      </w:r>
      <w:r w:rsidR="00EC0B2A" w:rsidRPr="009522B2">
        <w:rPr>
          <w:b/>
          <w:bCs/>
          <w:lang w:val="el-GR"/>
        </w:rPr>
        <w:t xml:space="preserve"> Άρθρο 94 του 4001/2011</w:t>
      </w:r>
      <w:r w:rsidR="00EC0B2A" w:rsidRPr="009522B2">
        <w:rPr>
          <w:lang w:val="el-GR"/>
        </w:rPr>
        <w:t xml:space="preserve"> καθορίζονταν οι υποχρεώσεις του ΑΔΜΗΕ, </w:t>
      </w:r>
      <w:r w:rsidR="001C4057" w:rsidRPr="009522B2">
        <w:rPr>
          <w:lang w:val="el-GR"/>
        </w:rPr>
        <w:t>μεταξύ</w:t>
      </w:r>
      <w:r w:rsidR="00EC0B2A" w:rsidRPr="009522B2">
        <w:rPr>
          <w:lang w:val="el-GR"/>
        </w:rPr>
        <w:t xml:space="preserve"> των οποίων ήταν η παρακολούθηση της απόδοσης του Συστήματος Μεταφοράς με στόχο τη διατήρηση της διαθεσιμότητας των καταχωρισμένων παγίων, της ασφάλειας του Συστήματος και της ποιότητας των υπηρεσιών που παρέχονται</w:t>
      </w:r>
      <w:r w:rsidR="009522B2" w:rsidRPr="009522B2">
        <w:rPr>
          <w:lang w:val="el-GR"/>
        </w:rPr>
        <w:t xml:space="preserve">, οι οποίες καταργήθηκαν </w:t>
      </w:r>
      <w:r w:rsidR="009522B2" w:rsidRPr="009522B2">
        <w:rPr>
          <w:b/>
          <w:bCs/>
          <w:lang w:val="el-GR"/>
        </w:rPr>
        <w:t>με την Παράγραφο 3 του Άρθρου 98 του ν. 4512/2018</w:t>
      </w:r>
      <w:r w:rsidR="00A43B0B" w:rsidRPr="00A43B0B">
        <w:rPr>
          <w:b/>
          <w:bCs/>
          <w:lang w:val="el-GR"/>
        </w:rPr>
        <w:t xml:space="preserve">, </w:t>
      </w:r>
      <w:r w:rsidR="00A43B0B" w:rsidRPr="00A43B0B">
        <w:rPr>
          <w:lang w:val="el-GR"/>
        </w:rPr>
        <w:t>από την έναρξη λειτουργίας της Αγοράς Εξισορρόπησης και την έκδοση του Κανονισμού Αγοράς Εξισορρόπησης σύμφωνα με την παρ. 2 του άρθρου 18 του ν. 4425/2016</w:t>
      </w:r>
      <w:r w:rsidR="009522B2" w:rsidRPr="00A43B0B">
        <w:rPr>
          <w:b/>
          <w:bCs/>
          <w:lang w:val="el-GR"/>
        </w:rPr>
        <w:t>.</w:t>
      </w:r>
      <w:r w:rsidR="009522B2" w:rsidRPr="009522B2">
        <w:rPr>
          <w:lang w:val="el-GR"/>
        </w:rPr>
        <w:t xml:space="preserve"> </w:t>
      </w:r>
      <w:r w:rsidR="00EC0B2A">
        <w:rPr>
          <w:lang w:val="el-GR"/>
        </w:rPr>
        <w:t xml:space="preserve"> </w:t>
      </w:r>
    </w:p>
    <w:p w14:paraId="650C6B78" w14:textId="77777777" w:rsidR="00F77A90" w:rsidRDefault="00F77A90" w:rsidP="00EC0B2A">
      <w:pPr>
        <w:jc w:val="both"/>
        <w:rPr>
          <w:i/>
          <w:lang w:val="el-GR"/>
        </w:rPr>
      </w:pPr>
      <w:r>
        <w:rPr>
          <w:lang w:val="el-GR"/>
        </w:rPr>
        <w:t xml:space="preserve">Όπως αναφέρεται </w:t>
      </w:r>
      <w:r w:rsidRPr="00F77A90">
        <w:rPr>
          <w:b/>
          <w:lang w:val="el-GR"/>
        </w:rPr>
        <w:t>στην Υποενότητα 1.2 του Κώδικα Διαχείρισης Ελληνικού Συστήματος Μεταφοράς Η</w:t>
      </w:r>
      <w:r w:rsidR="00464AB5">
        <w:rPr>
          <w:b/>
          <w:lang w:val="el-GR"/>
        </w:rPr>
        <w:t>λεκτρικής Ενέργειας</w:t>
      </w:r>
      <w:r w:rsidRPr="00F77A90">
        <w:rPr>
          <w:b/>
          <w:lang w:val="el-GR"/>
        </w:rPr>
        <w:t>,</w:t>
      </w:r>
      <w:r w:rsidR="00464AB5">
        <w:rPr>
          <w:b/>
          <w:lang w:val="el-GR"/>
        </w:rPr>
        <w:t xml:space="preserve"> όπως τροποποιήθηκε με το ΦΕΚ Β’ </w:t>
      </w:r>
      <w:r w:rsidR="00464AB5" w:rsidRPr="00464AB5">
        <w:rPr>
          <w:b/>
          <w:lang w:val="el-GR"/>
        </w:rPr>
        <w:t>725/18.02.2022</w:t>
      </w:r>
      <w:r w:rsidR="00464AB5">
        <w:rPr>
          <w:b/>
          <w:lang w:val="el-GR"/>
        </w:rPr>
        <w:t>,</w:t>
      </w:r>
      <w:r>
        <w:rPr>
          <w:lang w:val="el-GR"/>
        </w:rPr>
        <w:t xml:space="preserve"> </w:t>
      </w:r>
      <w:r w:rsidRPr="00F77A90">
        <w:rPr>
          <w:i/>
          <w:lang w:val="el-GR"/>
        </w:rPr>
        <w:t>«Η ΡΑΕ εποπτεύει την άσκηση των δικαιωμάτων και των υποχρεώσεων του Διαχειριστή του ΕΣΜΗΕ</w:t>
      </w:r>
      <w:r w:rsidR="00D73B0F">
        <w:rPr>
          <w:i/>
          <w:lang w:val="el-GR"/>
        </w:rPr>
        <w:t>……….</w:t>
      </w:r>
      <w:r w:rsidRPr="00F77A90">
        <w:rPr>
          <w:i/>
          <w:lang w:val="el-GR"/>
        </w:rPr>
        <w:t>στο πλαίσιο των αρμοδιοτήτων της και των διατάξεων του παρόντος Κώδικα.»</w:t>
      </w:r>
    </w:p>
    <w:p w14:paraId="2883CC69" w14:textId="77777777" w:rsidR="00D56BBF" w:rsidRPr="00D56BBF" w:rsidRDefault="00D73B0F" w:rsidP="00EC0B2A">
      <w:pPr>
        <w:jc w:val="both"/>
        <w:rPr>
          <w:i/>
          <w:iCs/>
          <w:lang w:val="el-GR"/>
        </w:rPr>
      </w:pPr>
      <w:r>
        <w:rPr>
          <w:b/>
          <w:bCs/>
          <w:lang w:val="el-GR"/>
        </w:rPr>
        <w:t>Σύμφωνα με την Ε</w:t>
      </w:r>
      <w:r w:rsidR="00D56BBF" w:rsidRPr="00D56BBF">
        <w:rPr>
          <w:b/>
          <w:bCs/>
          <w:lang w:val="el-GR"/>
        </w:rPr>
        <w:t>νότητα 2.0 του Κώδικα Διαχείρισης Ελληνικού Συστήματος Μεταφοράς Ηλεκτρικής Ενέργειας</w:t>
      </w:r>
      <w:r w:rsidR="00D56BBF" w:rsidRPr="00D56BBF">
        <w:rPr>
          <w:lang w:val="el-GR"/>
        </w:rPr>
        <w:t>,</w:t>
      </w:r>
      <w:r w:rsidR="00464AB5">
        <w:rPr>
          <w:lang w:val="el-GR"/>
        </w:rPr>
        <w:t xml:space="preserve"> </w:t>
      </w:r>
      <w:r w:rsidR="00464AB5">
        <w:rPr>
          <w:b/>
          <w:lang w:val="el-GR"/>
        </w:rPr>
        <w:t xml:space="preserve">όπως τροποποιήθηκε με το ΦΕΚ Β’ </w:t>
      </w:r>
      <w:r w:rsidR="00464AB5" w:rsidRPr="00464AB5">
        <w:rPr>
          <w:b/>
          <w:lang w:val="el-GR"/>
        </w:rPr>
        <w:t>725/18.02.2022</w:t>
      </w:r>
      <w:r w:rsidR="00464AB5">
        <w:rPr>
          <w:b/>
          <w:lang w:val="el-GR"/>
        </w:rPr>
        <w:t xml:space="preserve">, </w:t>
      </w:r>
      <w:r w:rsidR="00D56BBF">
        <w:rPr>
          <w:lang w:val="el-GR"/>
        </w:rPr>
        <w:t xml:space="preserve"> </w:t>
      </w:r>
      <w:r w:rsidR="00D56BBF" w:rsidRPr="00D56BBF">
        <w:rPr>
          <w:i/>
          <w:iCs/>
          <w:lang w:val="el-GR"/>
        </w:rPr>
        <w:t>«Η λειτουργία του συστήματος διέπεται από τον Κανονισμό (</w:t>
      </w:r>
      <w:r w:rsidR="00D56BBF" w:rsidRPr="00D56BBF">
        <w:rPr>
          <w:i/>
          <w:iCs/>
        </w:rPr>
        <w:t>EE</w:t>
      </w:r>
      <w:r w:rsidR="001C4057">
        <w:rPr>
          <w:i/>
          <w:iCs/>
          <w:lang w:val="el-GR"/>
        </w:rPr>
        <w:t>) 2017/1485 τη</w:t>
      </w:r>
      <w:r w:rsidR="00D56BBF" w:rsidRPr="00D56BBF">
        <w:rPr>
          <w:i/>
          <w:iCs/>
          <w:lang w:val="el-GR"/>
        </w:rPr>
        <w:t>ς Επιτροπής (</w:t>
      </w:r>
      <w:r w:rsidR="00D56BBF" w:rsidRPr="00D56BBF">
        <w:rPr>
          <w:i/>
          <w:iCs/>
        </w:rPr>
        <w:t>SOGL</w:t>
      </w:r>
      <w:r w:rsidR="00D56BBF" w:rsidRPr="00D56BBF">
        <w:rPr>
          <w:i/>
          <w:iCs/>
          <w:lang w:val="el-GR"/>
        </w:rPr>
        <w:t xml:space="preserve">, εφεξής «Κανονισμός»), τους εγκεκριμένους όρους και </w:t>
      </w:r>
      <w:r w:rsidR="00464AB5" w:rsidRPr="00D56BBF">
        <w:rPr>
          <w:i/>
          <w:iCs/>
          <w:lang w:val="el-GR"/>
        </w:rPr>
        <w:t>προϋποθέσεις</w:t>
      </w:r>
      <w:r w:rsidR="00D56BBF" w:rsidRPr="00D56BBF">
        <w:rPr>
          <w:i/>
          <w:iCs/>
          <w:lang w:val="el-GR"/>
        </w:rPr>
        <w:t xml:space="preserve"> που προβλέπονται σε αυτόν, τις μεθοδολογίες που εκδίδονται κατ εξουσιοδότησή του, όπως κάθε φορά ισχύουν, καθώς και από τις διατάξεις της παρούσας Ενότητας που αφορούν στο ΕΣΜΗΕ και τις σχετικές αποφάσεις της ΡΑΕ που προβλέπονται σε αυτήν»</w:t>
      </w:r>
    </w:p>
    <w:p w14:paraId="6345AE9C" w14:textId="77777777" w:rsidR="00BF3226" w:rsidRDefault="00BF3226" w:rsidP="00EC0B2A">
      <w:pPr>
        <w:jc w:val="both"/>
        <w:rPr>
          <w:lang w:val="el-GR"/>
        </w:rPr>
      </w:pPr>
      <w:r w:rsidRPr="00BF3226">
        <w:rPr>
          <w:i/>
          <w:lang w:val="el-GR"/>
        </w:rPr>
        <w:t>«Για να είναι εγγυημένη η επιχειρησιακή ασφάλεια, η ποιότητα της συχνότητας και η αποδοτική χρήση του διασυνδεδ</w:t>
      </w:r>
      <w:r>
        <w:rPr>
          <w:i/>
          <w:lang w:val="el-GR"/>
        </w:rPr>
        <w:t>εμένου συστήματος και των πόρων</w:t>
      </w:r>
      <w:r w:rsidRPr="00BF3226">
        <w:rPr>
          <w:i/>
          <w:lang w:val="el-GR"/>
        </w:rPr>
        <w:t>»</w:t>
      </w:r>
      <w:r w:rsidR="00F77A90">
        <w:rPr>
          <w:i/>
          <w:lang w:val="el-GR"/>
        </w:rPr>
        <w:t>,</w:t>
      </w:r>
      <w:r w:rsidR="00330387">
        <w:rPr>
          <w:lang w:val="el-GR"/>
        </w:rPr>
        <w:t xml:space="preserve"> </w:t>
      </w:r>
      <w:r w:rsidRPr="003D19B3">
        <w:rPr>
          <w:b/>
          <w:bCs/>
          <w:lang w:val="el-GR"/>
        </w:rPr>
        <w:t xml:space="preserve">ο Κανονισμός 2017/1485 </w:t>
      </w:r>
      <w:r w:rsidRPr="003D19B3">
        <w:rPr>
          <w:b/>
          <w:bCs/>
        </w:rPr>
        <w:t>SOGL</w:t>
      </w:r>
      <w:r w:rsidRPr="003D19B3">
        <w:rPr>
          <w:b/>
          <w:bCs/>
          <w:lang w:val="el-GR"/>
        </w:rPr>
        <w:t xml:space="preserve"> (</w:t>
      </w:r>
      <w:r w:rsidRPr="003D19B3">
        <w:rPr>
          <w:b/>
          <w:bCs/>
        </w:rPr>
        <w:t>System</w:t>
      </w:r>
      <w:r w:rsidRPr="003D19B3">
        <w:rPr>
          <w:b/>
          <w:bCs/>
          <w:lang w:val="el-GR"/>
        </w:rPr>
        <w:t xml:space="preserve"> </w:t>
      </w:r>
      <w:r w:rsidRPr="003D19B3">
        <w:rPr>
          <w:b/>
          <w:bCs/>
        </w:rPr>
        <w:t>Operation</w:t>
      </w:r>
      <w:r w:rsidRPr="003D19B3">
        <w:rPr>
          <w:b/>
          <w:bCs/>
          <w:lang w:val="el-GR"/>
        </w:rPr>
        <w:t xml:space="preserve"> </w:t>
      </w:r>
      <w:r w:rsidRPr="003D19B3">
        <w:rPr>
          <w:b/>
          <w:bCs/>
        </w:rPr>
        <w:t>Guidelines</w:t>
      </w:r>
      <w:r w:rsidRPr="003D19B3">
        <w:rPr>
          <w:b/>
          <w:bCs/>
          <w:lang w:val="el-GR"/>
        </w:rPr>
        <w:t xml:space="preserve">) του Ευρωπαϊκού Κοινοβουλίου </w:t>
      </w:r>
      <w:r w:rsidRPr="003D19B3">
        <w:rPr>
          <w:b/>
          <w:iCs/>
          <w:lang w:val="el-GR"/>
        </w:rPr>
        <w:t>σχετικά με τον καθορισμό κατευθυντήριων γραμμών για τη λειτουργία του συστήματος μεταφοράς ηλεκτρικής ενέργειας</w:t>
      </w:r>
      <w:r w:rsidR="003D19B3">
        <w:rPr>
          <w:b/>
          <w:i/>
          <w:iCs/>
          <w:lang w:val="el-GR"/>
        </w:rPr>
        <w:t>,</w:t>
      </w:r>
      <w:r w:rsidR="003D19B3">
        <w:rPr>
          <w:i/>
          <w:iCs/>
          <w:lang w:val="el-GR"/>
        </w:rPr>
        <w:t xml:space="preserve"> </w:t>
      </w:r>
      <w:r w:rsidRPr="00BF3226">
        <w:rPr>
          <w:lang w:val="el-GR"/>
        </w:rPr>
        <w:t>θεσπίζει</w:t>
      </w:r>
      <w:r w:rsidR="00F77A90">
        <w:rPr>
          <w:lang w:val="el-GR"/>
        </w:rPr>
        <w:t xml:space="preserve"> μεταξύ άλλων</w:t>
      </w:r>
      <w:r w:rsidRPr="00BF3226">
        <w:rPr>
          <w:lang w:val="el-GR"/>
        </w:rPr>
        <w:t xml:space="preserve">: </w:t>
      </w:r>
    </w:p>
    <w:p w14:paraId="0348880B" w14:textId="77777777" w:rsidR="00BF3226" w:rsidRPr="00BF3226" w:rsidRDefault="00BF3226" w:rsidP="00EC0B2A">
      <w:pPr>
        <w:jc w:val="both"/>
        <w:rPr>
          <w:i/>
          <w:lang w:val="el-GR"/>
        </w:rPr>
      </w:pPr>
      <w:r w:rsidRPr="00BF3226">
        <w:rPr>
          <w:i/>
          <w:lang w:val="el-GR"/>
        </w:rPr>
        <w:t xml:space="preserve">«α) απαιτήσεις και αρχές σχετικά με την επιχειρησιακή ασφάλεια· </w:t>
      </w:r>
    </w:p>
    <w:p w14:paraId="1097BAA8" w14:textId="77777777" w:rsidR="00BF3226" w:rsidRPr="00BF3226" w:rsidRDefault="00BF3226" w:rsidP="00EC0B2A">
      <w:pPr>
        <w:jc w:val="both"/>
        <w:rPr>
          <w:i/>
          <w:lang w:val="el-GR"/>
        </w:rPr>
      </w:pPr>
      <w:r w:rsidRPr="00BF3226">
        <w:rPr>
          <w:i/>
          <w:lang w:val="el-GR"/>
        </w:rPr>
        <w:t>…………</w:t>
      </w:r>
    </w:p>
    <w:p w14:paraId="27E07C67" w14:textId="77777777" w:rsidR="001C4057" w:rsidRPr="009522B2" w:rsidRDefault="00BF3226" w:rsidP="00EC0B2A">
      <w:pPr>
        <w:jc w:val="both"/>
        <w:rPr>
          <w:i/>
          <w:iCs/>
          <w:lang w:val="el-GR"/>
        </w:rPr>
      </w:pPr>
      <w:r w:rsidRPr="00BF3226">
        <w:rPr>
          <w:i/>
          <w:lang w:val="el-GR"/>
        </w:rPr>
        <w:t>στ) κανόνες που στοχεύουν στην καθιέρωση ενωσιακού πλαισίου για τον έλεγχο φορτίου-συχνότητας και τις εφεδρείες.»</w:t>
      </w:r>
    </w:p>
    <w:p w14:paraId="6A113CD4" w14:textId="77777777" w:rsidR="001C4057" w:rsidRDefault="001C4057" w:rsidP="00EC0B2A">
      <w:pPr>
        <w:jc w:val="both"/>
        <w:rPr>
          <w:lang w:val="el-GR"/>
        </w:rPr>
      </w:pPr>
      <w:r>
        <w:rPr>
          <w:lang w:val="el-GR"/>
        </w:rPr>
        <w:lastRenderedPageBreak/>
        <w:t xml:space="preserve">Σύμφωνα με το </w:t>
      </w:r>
      <w:r w:rsidRPr="009522B2">
        <w:rPr>
          <w:b/>
          <w:lang w:val="el-GR"/>
        </w:rPr>
        <w:t xml:space="preserve">Άρθρο 3 του Κανονισμού ΕΕ 2017/1485 </w:t>
      </w:r>
      <w:r w:rsidRPr="009522B2">
        <w:rPr>
          <w:b/>
        </w:rPr>
        <w:t>SOGL</w:t>
      </w:r>
      <w:r>
        <w:rPr>
          <w:lang w:val="el-GR"/>
        </w:rPr>
        <w:t xml:space="preserve"> ως επιχειρησιακή ασφάλεια ορίζεται «</w:t>
      </w:r>
      <w:r w:rsidRPr="00F77A90">
        <w:rPr>
          <w:i/>
          <w:lang w:val="el-GR"/>
        </w:rPr>
        <w:t>η ικανότητα του συστήματος μεταφοράς να διατηρείται σε κανονική κατάσταση ή να επανέρχεται σε κανονική κατάσταση το συντομότερο δυνατό, η οποία χαρακτηρίζεται από όρια επιχειρησιακής ασφάλειας·</w:t>
      </w:r>
      <w:r>
        <w:rPr>
          <w:i/>
          <w:lang w:val="el-GR"/>
        </w:rPr>
        <w:t>»</w:t>
      </w:r>
    </w:p>
    <w:p w14:paraId="325780CF" w14:textId="77777777" w:rsidR="00EC0B2A" w:rsidRDefault="001C4057" w:rsidP="00EC0B2A">
      <w:pPr>
        <w:jc w:val="both"/>
        <w:rPr>
          <w:lang w:val="el-GR"/>
        </w:rPr>
      </w:pPr>
      <w:r>
        <w:rPr>
          <w:lang w:val="el-GR"/>
        </w:rPr>
        <w:t>Ό</w:t>
      </w:r>
      <w:r w:rsidR="00EC0B2A">
        <w:rPr>
          <w:lang w:val="el-GR"/>
        </w:rPr>
        <w:t xml:space="preserve">πως ορίζεται από </w:t>
      </w:r>
      <w:r w:rsidR="00EC0B2A" w:rsidRPr="008340DB">
        <w:rPr>
          <w:b/>
          <w:bCs/>
          <w:lang w:val="el-GR"/>
        </w:rPr>
        <w:t xml:space="preserve">το Άρθρο 15 του Κανονισμού </w:t>
      </w:r>
      <w:r w:rsidR="00EC0B2A" w:rsidRPr="008340DB">
        <w:rPr>
          <w:b/>
          <w:bCs/>
        </w:rPr>
        <w:t>SOGL</w:t>
      </w:r>
      <w:r w:rsidR="00EC0B2A" w:rsidRPr="005A4F06">
        <w:rPr>
          <w:lang w:val="el-GR"/>
        </w:rPr>
        <w:t>,</w:t>
      </w:r>
      <w:r w:rsidR="00EC0B2A">
        <w:rPr>
          <w:lang w:val="el-GR"/>
        </w:rPr>
        <w:t xml:space="preserve"> ο</w:t>
      </w:r>
      <w:r w:rsidR="00EC0B2A" w:rsidRPr="00B74F9C">
        <w:rPr>
          <w:lang w:val="el-GR"/>
        </w:rPr>
        <w:t>ι Δ</w:t>
      </w:r>
      <w:r w:rsidR="00330387">
        <w:rPr>
          <w:lang w:val="el-GR"/>
        </w:rPr>
        <w:t xml:space="preserve">ιαχειριστές </w:t>
      </w:r>
      <w:r w:rsidR="00EC0B2A" w:rsidRPr="00B74F9C">
        <w:rPr>
          <w:lang w:val="el-GR"/>
        </w:rPr>
        <w:t>Σ</w:t>
      </w:r>
      <w:r w:rsidR="00330387">
        <w:rPr>
          <w:lang w:val="el-GR"/>
        </w:rPr>
        <w:t xml:space="preserve">υστήματος </w:t>
      </w:r>
      <w:r w:rsidR="00EC0B2A" w:rsidRPr="00B74F9C">
        <w:rPr>
          <w:lang w:val="el-GR"/>
        </w:rPr>
        <w:t>Μ</w:t>
      </w:r>
      <w:r w:rsidR="00330387">
        <w:rPr>
          <w:lang w:val="el-GR"/>
        </w:rPr>
        <w:t>εταφοράς</w:t>
      </w:r>
      <w:r w:rsidR="00EC0B2A" w:rsidRPr="00B74F9C">
        <w:rPr>
          <w:lang w:val="el-GR"/>
        </w:rPr>
        <w:t xml:space="preserve"> κάθε κράτους μέλους παρέχουν στον ENTSO</w:t>
      </w:r>
      <w:r w:rsidR="00EC0B2A">
        <w:t>E</w:t>
      </w:r>
      <w:r w:rsidR="00330387">
        <w:rPr>
          <w:lang w:val="el-GR"/>
        </w:rPr>
        <w:t>, έως την 1</w:t>
      </w:r>
      <w:r w:rsidR="00330387" w:rsidRPr="00330387">
        <w:rPr>
          <w:vertAlign w:val="superscript"/>
          <w:lang w:val="el-GR"/>
        </w:rPr>
        <w:t>η</w:t>
      </w:r>
      <w:r w:rsidR="00330387">
        <w:rPr>
          <w:lang w:val="el-GR"/>
        </w:rPr>
        <w:t xml:space="preserve"> </w:t>
      </w:r>
      <w:r w:rsidR="00EC0B2A" w:rsidRPr="00B74F9C">
        <w:rPr>
          <w:lang w:val="el-GR"/>
        </w:rPr>
        <w:t>Μαρτίου</w:t>
      </w:r>
      <w:r w:rsidR="00EC0B2A" w:rsidRPr="00F23F04">
        <w:rPr>
          <w:lang w:val="el-GR"/>
        </w:rPr>
        <w:t xml:space="preserve"> </w:t>
      </w:r>
      <w:r w:rsidR="00EC0B2A">
        <w:rPr>
          <w:lang w:val="el-GR"/>
        </w:rPr>
        <w:t>κάθε έτους</w:t>
      </w:r>
      <w:r w:rsidR="00EC0B2A" w:rsidRPr="00B74F9C">
        <w:rPr>
          <w:lang w:val="el-GR"/>
        </w:rPr>
        <w:t xml:space="preserve">, τα </w:t>
      </w:r>
      <w:r w:rsidR="00EC0B2A">
        <w:rPr>
          <w:lang w:val="el-GR"/>
        </w:rPr>
        <w:t>αναγκαία</w:t>
      </w:r>
      <w:r w:rsidR="00EC0B2A" w:rsidRPr="00B74F9C">
        <w:rPr>
          <w:lang w:val="el-GR"/>
        </w:rPr>
        <w:t xml:space="preserve"> στοιχεία και</w:t>
      </w:r>
      <w:r w:rsidR="00EC0B2A">
        <w:rPr>
          <w:lang w:val="el-GR"/>
        </w:rPr>
        <w:t xml:space="preserve"> </w:t>
      </w:r>
      <w:r w:rsidR="00EC0B2A" w:rsidRPr="00B74F9C">
        <w:rPr>
          <w:lang w:val="el-GR"/>
        </w:rPr>
        <w:t>πληροφορίες</w:t>
      </w:r>
      <w:r w:rsidR="00EC0B2A">
        <w:rPr>
          <w:lang w:val="el-GR"/>
        </w:rPr>
        <w:t xml:space="preserve"> του προηγούμενου έτους,</w:t>
      </w:r>
      <w:r w:rsidR="00EC0B2A" w:rsidRPr="00B74F9C">
        <w:rPr>
          <w:lang w:val="el-GR"/>
        </w:rPr>
        <w:t xml:space="preserve"> για την κατάρτιση των ετήσιων εκθέσεων</w:t>
      </w:r>
      <w:r w:rsidR="00EC0B2A">
        <w:rPr>
          <w:lang w:val="el-GR"/>
        </w:rPr>
        <w:t xml:space="preserve"> του. Μεταξύ των</w:t>
      </w:r>
      <w:r w:rsidR="00EC0B2A" w:rsidRPr="007252F7">
        <w:rPr>
          <w:lang w:val="el-GR"/>
        </w:rPr>
        <w:t xml:space="preserve"> </w:t>
      </w:r>
      <w:r w:rsidR="00EC0B2A">
        <w:rPr>
          <w:lang w:val="el-GR"/>
        </w:rPr>
        <w:t>σχετικών στοιχείων</w:t>
      </w:r>
      <w:r w:rsidR="00330387">
        <w:rPr>
          <w:lang w:val="el-GR"/>
        </w:rPr>
        <w:t xml:space="preserve"> </w:t>
      </w:r>
      <w:r w:rsidR="00EC0B2A">
        <w:rPr>
          <w:lang w:val="el-GR"/>
        </w:rPr>
        <w:t>και πληροφοριών ορίζονται</w:t>
      </w:r>
      <w:r w:rsidR="00EC0B2A" w:rsidRPr="002F35CD">
        <w:rPr>
          <w:lang w:val="el-GR"/>
        </w:rPr>
        <w:t xml:space="preserve"> </w:t>
      </w:r>
      <w:r w:rsidR="00EC0B2A">
        <w:rPr>
          <w:lang w:val="el-GR"/>
        </w:rPr>
        <w:t>στο ίδιο άρθρο του Κανονισμού κάποιοι δείκτες επιχειρησιακής ασφάλειας</w:t>
      </w:r>
      <w:r w:rsidR="00330387">
        <w:rPr>
          <w:lang w:val="el-GR"/>
        </w:rPr>
        <w:t xml:space="preserve"> μεταξύ των οποίων</w:t>
      </w:r>
      <w:r w:rsidR="00EC0B2A" w:rsidRPr="00D43A98">
        <w:rPr>
          <w:lang w:val="el-GR"/>
        </w:rPr>
        <w:t>:</w:t>
      </w:r>
    </w:p>
    <w:p w14:paraId="61F55F56" w14:textId="77777777" w:rsidR="00EC0B2A" w:rsidRPr="008340DB" w:rsidRDefault="00EC0B2A" w:rsidP="00EC0B2A">
      <w:pPr>
        <w:jc w:val="both"/>
      </w:pPr>
      <w:r>
        <w:rPr>
          <w:lang w:val="el-GR"/>
        </w:rPr>
        <w:t>«</w:t>
      </w:r>
      <w:r>
        <w:t>…</w:t>
      </w:r>
    </w:p>
    <w:p w14:paraId="1D5753CA" w14:textId="77777777" w:rsidR="00EC0B2A" w:rsidRPr="008340DB" w:rsidRDefault="00EC0B2A" w:rsidP="00EC0B2A">
      <w:pPr>
        <w:pStyle w:val="a3"/>
        <w:numPr>
          <w:ilvl w:val="0"/>
          <w:numId w:val="19"/>
        </w:numPr>
        <w:jc w:val="both"/>
        <w:rPr>
          <w:b/>
          <w:bCs/>
          <w:lang w:val="el-GR"/>
        </w:rPr>
      </w:pPr>
      <w:r w:rsidRPr="00217C71">
        <w:rPr>
          <w:i/>
          <w:iCs/>
          <w:lang w:val="el-GR"/>
        </w:rPr>
        <w:t>αριθμό</w:t>
      </w:r>
      <w:r>
        <w:rPr>
          <w:i/>
          <w:iCs/>
          <w:lang w:val="el-GR"/>
        </w:rPr>
        <w:t>ς</w:t>
      </w:r>
      <w:r w:rsidRPr="00217C71">
        <w:rPr>
          <w:i/>
          <w:iCs/>
          <w:lang w:val="el-GR"/>
        </w:rPr>
        <w:t xml:space="preserve"> αποσυνδεδεμένων στοιχείων συστήματος μεταφοράς ανά έτος και ανά ΔΣΜ</w:t>
      </w:r>
      <w:r w:rsidRPr="008340DB">
        <w:rPr>
          <w:i/>
          <w:iCs/>
          <w:lang w:val="el-GR"/>
        </w:rPr>
        <w:t xml:space="preserve"> </w:t>
      </w:r>
      <w:r w:rsidRPr="008340DB">
        <w:rPr>
          <w:b/>
          <w:bCs/>
          <w:i/>
          <w:iCs/>
          <w:lang w:val="el-GR"/>
        </w:rPr>
        <w:t>[</w:t>
      </w:r>
      <w:r w:rsidRPr="008340DB">
        <w:rPr>
          <w:b/>
          <w:bCs/>
          <w:i/>
          <w:iCs/>
        </w:rPr>
        <w:sym w:font="Wingdings" w:char="F0E0"/>
      </w:r>
      <w:r w:rsidRPr="008340DB">
        <w:rPr>
          <w:b/>
          <w:bCs/>
          <w:i/>
          <w:iCs/>
        </w:rPr>
        <w:t>System</w:t>
      </w:r>
      <w:r w:rsidRPr="008340DB">
        <w:rPr>
          <w:b/>
          <w:bCs/>
          <w:i/>
          <w:iCs/>
          <w:lang w:val="el-GR"/>
        </w:rPr>
        <w:t xml:space="preserve"> </w:t>
      </w:r>
      <w:r w:rsidRPr="008340DB">
        <w:rPr>
          <w:b/>
          <w:bCs/>
          <w:i/>
          <w:iCs/>
        </w:rPr>
        <w:t>Availability</w:t>
      </w:r>
      <w:r w:rsidRPr="008340DB">
        <w:rPr>
          <w:b/>
          <w:bCs/>
          <w:i/>
          <w:iCs/>
          <w:lang w:val="el-GR"/>
        </w:rPr>
        <w:t>]</w:t>
      </w:r>
      <w:r w:rsidRPr="008340DB">
        <w:rPr>
          <w:b/>
          <w:bCs/>
          <w:lang w:val="el-GR"/>
        </w:rPr>
        <w:t>,</w:t>
      </w:r>
    </w:p>
    <w:p w14:paraId="3A36354A" w14:textId="77777777" w:rsidR="00EC0B2A" w:rsidRPr="00756BC8" w:rsidRDefault="00EC0B2A" w:rsidP="00EC0B2A">
      <w:pPr>
        <w:pStyle w:val="a3"/>
        <w:numPr>
          <w:ilvl w:val="0"/>
          <w:numId w:val="19"/>
        </w:numPr>
        <w:jc w:val="both"/>
        <w:rPr>
          <w:lang w:val="el-GR"/>
        </w:rPr>
      </w:pPr>
      <w:r w:rsidRPr="00217C71">
        <w:rPr>
          <w:i/>
          <w:iCs/>
          <w:lang w:val="el-GR"/>
        </w:rPr>
        <w:t>μη παρεχόμενη ποσότητα ενέργειας ετησίως λόγω απρογραμμάτιστης αποσύνδεσης εγκαταστάσεων ζήτησης ανά ΔΣΜ</w:t>
      </w:r>
      <w:r w:rsidRPr="008340DB">
        <w:rPr>
          <w:i/>
          <w:iCs/>
          <w:lang w:val="el-GR"/>
        </w:rPr>
        <w:t xml:space="preserve"> </w:t>
      </w:r>
      <w:r w:rsidRPr="008340DB">
        <w:rPr>
          <w:b/>
          <w:bCs/>
          <w:i/>
          <w:iCs/>
          <w:lang w:val="el-GR"/>
        </w:rPr>
        <w:t>[</w:t>
      </w:r>
      <w:r w:rsidRPr="008340DB">
        <w:rPr>
          <w:b/>
          <w:bCs/>
          <w:i/>
          <w:iCs/>
        </w:rPr>
        <w:sym w:font="Wingdings" w:char="F0E0"/>
      </w:r>
      <w:r w:rsidRPr="008340DB">
        <w:rPr>
          <w:b/>
          <w:bCs/>
          <w:i/>
          <w:iCs/>
        </w:rPr>
        <w:t>ENS</w:t>
      </w:r>
      <w:r w:rsidRPr="008340DB">
        <w:rPr>
          <w:b/>
          <w:bCs/>
          <w:i/>
          <w:iCs/>
          <w:lang w:val="el-GR"/>
        </w:rPr>
        <w:t>]</w:t>
      </w:r>
      <w:r w:rsidRPr="008340DB">
        <w:rPr>
          <w:b/>
          <w:bCs/>
          <w:lang w:val="el-GR"/>
        </w:rPr>
        <w:t>,</w:t>
      </w:r>
      <w:r w:rsidRPr="00756BC8">
        <w:rPr>
          <w:lang w:val="el-GR"/>
        </w:rPr>
        <w:t xml:space="preserve"> </w:t>
      </w:r>
    </w:p>
    <w:p w14:paraId="4CA7279B" w14:textId="77777777" w:rsidR="00EC0B2A" w:rsidRPr="00756BC8" w:rsidRDefault="00EC0B2A" w:rsidP="00EC0B2A">
      <w:pPr>
        <w:pStyle w:val="a3"/>
        <w:numPr>
          <w:ilvl w:val="0"/>
          <w:numId w:val="19"/>
        </w:numPr>
        <w:jc w:val="both"/>
        <w:rPr>
          <w:lang w:val="el-GR"/>
        </w:rPr>
      </w:pPr>
      <w:r w:rsidRPr="00217C71">
        <w:rPr>
          <w:i/>
          <w:iCs/>
          <w:lang w:val="el-GR"/>
        </w:rPr>
        <w:t xml:space="preserve">χρονική διάρκεια και αριθμός αποκλίσεων τάσης που υπερέβησαν το εύρος τιμών που αναφέρεται στους πίνακες 1 και 2 του παραρτήματος </w:t>
      </w:r>
      <w:r w:rsidRPr="00217C71">
        <w:rPr>
          <w:i/>
          <w:iCs/>
        </w:rPr>
        <w:t>II</w:t>
      </w:r>
      <w:r w:rsidRPr="00217C71">
        <w:rPr>
          <w:i/>
          <w:iCs/>
          <w:lang w:val="el-GR"/>
        </w:rPr>
        <w:t xml:space="preserve"> ανά ΔΣΜ</w:t>
      </w:r>
      <w:r w:rsidRPr="008340DB">
        <w:rPr>
          <w:i/>
          <w:iCs/>
          <w:lang w:val="el-GR"/>
        </w:rPr>
        <w:t xml:space="preserve"> </w:t>
      </w:r>
      <w:r w:rsidRPr="008340DB">
        <w:rPr>
          <w:b/>
          <w:bCs/>
          <w:i/>
          <w:iCs/>
          <w:lang w:val="el-GR"/>
        </w:rPr>
        <w:t>[</w:t>
      </w:r>
      <w:r w:rsidRPr="008340DB">
        <w:rPr>
          <w:b/>
          <w:bCs/>
          <w:i/>
          <w:iCs/>
        </w:rPr>
        <w:sym w:font="Wingdings" w:char="F0E0"/>
      </w:r>
      <w:r w:rsidRPr="008340DB">
        <w:rPr>
          <w:b/>
          <w:bCs/>
          <w:i/>
          <w:iCs/>
        </w:rPr>
        <w:t>VDI</w:t>
      </w:r>
      <w:r w:rsidRPr="008340DB">
        <w:rPr>
          <w:b/>
          <w:bCs/>
          <w:i/>
          <w:iCs/>
          <w:lang w:val="el-GR"/>
        </w:rPr>
        <w:t>]</w:t>
      </w:r>
      <w:r w:rsidRPr="008340DB">
        <w:rPr>
          <w:b/>
          <w:bCs/>
          <w:lang w:val="el-GR"/>
        </w:rPr>
        <w:t>,</w:t>
      </w:r>
    </w:p>
    <w:p w14:paraId="43A74957" w14:textId="77777777" w:rsidR="00EC0B2A" w:rsidRPr="00756BC8" w:rsidRDefault="00EC0B2A" w:rsidP="00EC0B2A">
      <w:pPr>
        <w:pStyle w:val="a3"/>
        <w:numPr>
          <w:ilvl w:val="0"/>
          <w:numId w:val="19"/>
        </w:numPr>
        <w:jc w:val="both"/>
        <w:rPr>
          <w:lang w:val="el-GR"/>
        </w:rPr>
      </w:pPr>
      <w:r w:rsidRPr="00217C71">
        <w:rPr>
          <w:i/>
          <w:iCs/>
          <w:lang w:val="el-GR"/>
        </w:rPr>
        <w:t>χρονική διάρκεια και αριθμό συμβάντων στο πλαίσιο των οποίων διαπιστώθηκε έλλειψη εφεδρειών ανά ΔΣΜ</w:t>
      </w:r>
      <w:r w:rsidRPr="008340DB">
        <w:rPr>
          <w:i/>
          <w:iCs/>
          <w:lang w:val="el-GR"/>
        </w:rPr>
        <w:t xml:space="preserve"> </w:t>
      </w:r>
      <w:r w:rsidRPr="008340DB">
        <w:rPr>
          <w:b/>
          <w:bCs/>
          <w:i/>
          <w:iCs/>
          <w:lang w:val="el-GR"/>
        </w:rPr>
        <w:t>[</w:t>
      </w:r>
      <w:r w:rsidRPr="008340DB">
        <w:rPr>
          <w:b/>
          <w:bCs/>
          <w:i/>
          <w:iCs/>
        </w:rPr>
        <w:sym w:font="Wingdings" w:char="F0E0"/>
      </w:r>
      <w:r w:rsidRPr="008340DB">
        <w:rPr>
          <w:b/>
          <w:bCs/>
          <w:i/>
          <w:iCs/>
        </w:rPr>
        <w:t>FRCE</w:t>
      </w:r>
      <w:r w:rsidRPr="008340DB">
        <w:rPr>
          <w:b/>
          <w:bCs/>
          <w:i/>
          <w:iCs/>
          <w:lang w:val="el-GR"/>
        </w:rPr>
        <w:t>]</w:t>
      </w:r>
      <w:r w:rsidRPr="008340DB">
        <w:rPr>
          <w:i/>
          <w:iCs/>
          <w:lang w:val="el-GR"/>
        </w:rPr>
        <w:t xml:space="preserve"> </w:t>
      </w:r>
      <w:r w:rsidRPr="00756BC8">
        <w:rPr>
          <w:lang w:val="el-GR"/>
        </w:rPr>
        <w:t xml:space="preserve">, </w:t>
      </w:r>
    </w:p>
    <w:p w14:paraId="03B554E4" w14:textId="77777777" w:rsidR="00330387" w:rsidRPr="00330387" w:rsidRDefault="00EC0B2A" w:rsidP="00330387">
      <w:pPr>
        <w:pStyle w:val="a3"/>
        <w:numPr>
          <w:ilvl w:val="0"/>
          <w:numId w:val="19"/>
        </w:numPr>
        <w:jc w:val="both"/>
        <w:rPr>
          <w:lang w:val="el-GR"/>
        </w:rPr>
      </w:pPr>
      <w:r w:rsidRPr="00217C71">
        <w:rPr>
          <w:i/>
          <w:iCs/>
          <w:lang w:val="el-GR"/>
        </w:rPr>
        <w:t>αριθμός αποκοπών διακλαδώσεων δικτύου ή τοπικών καταστάσεων γενικής διακοπής ρεύματος</w:t>
      </w:r>
      <w:r w:rsidRPr="008340DB">
        <w:rPr>
          <w:i/>
          <w:iCs/>
          <w:lang w:val="el-GR"/>
        </w:rPr>
        <w:t xml:space="preserve"> </w:t>
      </w:r>
      <w:r w:rsidRPr="008340DB">
        <w:rPr>
          <w:b/>
          <w:bCs/>
          <w:i/>
          <w:iCs/>
          <w:lang w:val="el-GR"/>
        </w:rPr>
        <w:t>[</w:t>
      </w:r>
      <w:r w:rsidRPr="008340DB">
        <w:rPr>
          <w:b/>
          <w:bCs/>
          <w:i/>
          <w:iCs/>
        </w:rPr>
        <w:sym w:font="Wingdings" w:char="F0E0"/>
      </w:r>
      <w:r w:rsidRPr="008340DB">
        <w:rPr>
          <w:b/>
          <w:bCs/>
          <w:i/>
          <w:iCs/>
        </w:rPr>
        <w:t>System</w:t>
      </w:r>
      <w:r w:rsidRPr="008340DB">
        <w:rPr>
          <w:b/>
          <w:bCs/>
          <w:i/>
          <w:iCs/>
          <w:lang w:val="el-GR"/>
        </w:rPr>
        <w:t xml:space="preserve"> </w:t>
      </w:r>
      <w:r w:rsidRPr="008340DB">
        <w:rPr>
          <w:b/>
          <w:bCs/>
          <w:i/>
          <w:iCs/>
        </w:rPr>
        <w:t>Availability</w:t>
      </w:r>
      <w:r w:rsidRPr="008340DB">
        <w:rPr>
          <w:i/>
          <w:iCs/>
          <w:lang w:val="el-GR"/>
        </w:rPr>
        <w:t>]</w:t>
      </w:r>
    </w:p>
    <w:p w14:paraId="5E8670D7" w14:textId="77777777" w:rsidR="00EC0B2A" w:rsidRPr="00330387" w:rsidRDefault="00330387" w:rsidP="00330387">
      <w:pPr>
        <w:pStyle w:val="a3"/>
        <w:jc w:val="both"/>
        <w:rPr>
          <w:lang w:val="el-GR"/>
        </w:rPr>
      </w:pPr>
      <w:r>
        <w:rPr>
          <w:lang w:val="el-GR"/>
        </w:rPr>
        <w:t>….»</w:t>
      </w:r>
    </w:p>
    <w:p w14:paraId="66A3C2EB" w14:textId="77777777" w:rsidR="009522B2" w:rsidRPr="009522B2" w:rsidRDefault="009522B2" w:rsidP="00EC0B2A">
      <w:pPr>
        <w:tabs>
          <w:tab w:val="left" w:pos="6145"/>
        </w:tabs>
        <w:jc w:val="both"/>
        <w:rPr>
          <w:lang w:val="el-GR"/>
        </w:rPr>
      </w:pPr>
      <w:r w:rsidRPr="009522B2">
        <w:rPr>
          <w:b/>
          <w:lang w:val="el-GR"/>
        </w:rPr>
        <w:t xml:space="preserve">Στο Άρθρο 3 του Κανονισμού ΕΕ 2017/1485 </w:t>
      </w:r>
      <w:r w:rsidRPr="009522B2">
        <w:rPr>
          <w:b/>
        </w:rPr>
        <w:t>SOGL</w:t>
      </w:r>
      <w:r>
        <w:rPr>
          <w:lang w:val="el-GR"/>
        </w:rPr>
        <w:t xml:space="preserve">, ως δείκτες επιχειρησιακής ασφάλειας ορίζονται </w:t>
      </w:r>
      <w:r w:rsidRPr="009522B2">
        <w:rPr>
          <w:i/>
          <w:lang w:val="el-GR"/>
        </w:rPr>
        <w:t>«δείκτες που χρησιμοποιούνται από τους ΔΣΜ για την παρακολούθηση της επιχειρησιακής ασφάλειας με βάση καταστάσεις του συστήματος, καθώς και σφάλματα και διαταραχές που επηρεάζουν την επιχειρησιακή ασφάλεια·»</w:t>
      </w:r>
    </w:p>
    <w:p w14:paraId="337990E8" w14:textId="77777777" w:rsidR="00EC0B2A" w:rsidRDefault="009522B2" w:rsidP="00EC0B2A">
      <w:pPr>
        <w:tabs>
          <w:tab w:val="left" w:pos="6145"/>
        </w:tabs>
        <w:jc w:val="both"/>
        <w:rPr>
          <w:b/>
          <w:bCs/>
          <w:i/>
          <w:iCs/>
          <w:lang w:val="el-GR"/>
        </w:rPr>
      </w:pPr>
      <w:r>
        <w:rPr>
          <w:lang w:val="el-GR"/>
        </w:rPr>
        <w:t xml:space="preserve">Όπως ορίζεται </w:t>
      </w:r>
      <w:r w:rsidR="00EC0B2A">
        <w:rPr>
          <w:lang w:val="el-GR"/>
        </w:rPr>
        <w:t xml:space="preserve">με τις διατάξεις του </w:t>
      </w:r>
      <w:r w:rsidR="004943CE">
        <w:rPr>
          <w:b/>
          <w:bCs/>
          <w:lang w:val="el-GR"/>
        </w:rPr>
        <w:t>Ά</w:t>
      </w:r>
      <w:r w:rsidR="00EC0B2A" w:rsidRPr="008340DB">
        <w:rPr>
          <w:b/>
          <w:bCs/>
          <w:lang w:val="el-GR"/>
        </w:rPr>
        <w:t xml:space="preserve">ρθρου 16 του Κανονισμού </w:t>
      </w:r>
      <w:r w:rsidR="00EC0B2A" w:rsidRPr="008340DB">
        <w:rPr>
          <w:b/>
          <w:bCs/>
        </w:rPr>
        <w:t>SOGL</w:t>
      </w:r>
      <w:r w:rsidR="00EC0B2A" w:rsidRPr="00DF40D4">
        <w:rPr>
          <w:lang w:val="el-GR"/>
        </w:rPr>
        <w:t xml:space="preserve">, </w:t>
      </w:r>
      <w:r w:rsidR="0086702A">
        <w:rPr>
          <w:lang w:val="el-GR"/>
        </w:rPr>
        <w:t xml:space="preserve">οι Διαχειριστές Συστήματος Μεταφοράς </w:t>
      </w:r>
      <w:r w:rsidR="00EC0B2A" w:rsidRPr="00DF40D4">
        <w:rPr>
          <w:lang w:val="el-GR"/>
        </w:rPr>
        <w:t xml:space="preserve">κάθε κράτους μέλους κοινοποιούν </w:t>
      </w:r>
      <w:r w:rsidR="00EC0B2A">
        <w:rPr>
          <w:lang w:val="el-GR"/>
        </w:rPr>
        <w:t xml:space="preserve">στον </w:t>
      </w:r>
      <w:r w:rsidR="00EC0B2A">
        <w:t>ENTSOE</w:t>
      </w:r>
      <w:r w:rsidR="00EC0B2A" w:rsidRPr="00DF40D4">
        <w:rPr>
          <w:lang w:val="el-GR"/>
        </w:rPr>
        <w:t xml:space="preserve">, έως την 1η Μαρτίου κάθε έτους, </w:t>
      </w:r>
      <w:r w:rsidR="00EC0B2A">
        <w:rPr>
          <w:lang w:val="el-GR"/>
        </w:rPr>
        <w:t>«</w:t>
      </w:r>
      <w:r w:rsidR="00EC0B2A" w:rsidRPr="00DF40D4">
        <w:rPr>
          <w:i/>
          <w:iCs/>
          <w:lang w:val="el-GR"/>
        </w:rPr>
        <w:t xml:space="preserve">τα δεδομένα που σχετίζονται </w:t>
      </w:r>
      <w:r w:rsidR="00EC0B2A" w:rsidRPr="007B5EAF">
        <w:rPr>
          <w:b/>
          <w:bCs/>
          <w:i/>
          <w:iCs/>
          <w:lang w:val="el-GR"/>
        </w:rPr>
        <w:t>με τα κριτήρια αξιολόγησης της ποιότητας συχνότητας</w:t>
      </w:r>
      <w:r w:rsidR="00EC0B2A" w:rsidRPr="00DF40D4">
        <w:rPr>
          <w:i/>
          <w:iCs/>
          <w:lang w:val="el-GR"/>
        </w:rPr>
        <w:t xml:space="preserve"> για κάθε συγχρονισμέν</w:t>
      </w:r>
      <w:r w:rsidR="00330387">
        <w:rPr>
          <w:i/>
          <w:iCs/>
          <w:lang w:val="el-GR"/>
        </w:rPr>
        <w:t>η περιοχή και κάθε ενότητα ΕΦΣ….</w:t>
      </w:r>
      <w:r w:rsidR="00EC0B2A" w:rsidRPr="00DF40D4">
        <w:rPr>
          <w:i/>
          <w:iCs/>
          <w:lang w:val="el-GR"/>
        </w:rPr>
        <w:t>που καλύπτουν κάθε μήνα τουλάχιστον δύο προηγούμενων ημερολογιακών ετών</w:t>
      </w:r>
      <w:r w:rsidR="00EC0B2A">
        <w:rPr>
          <w:i/>
          <w:iCs/>
          <w:lang w:val="el-GR"/>
        </w:rPr>
        <w:t>»</w:t>
      </w:r>
      <w:r w:rsidR="00EC0B2A" w:rsidRPr="00DF40D4">
        <w:rPr>
          <w:i/>
          <w:iCs/>
          <w:lang w:val="el-GR"/>
        </w:rPr>
        <w:t>.</w:t>
      </w:r>
      <w:r w:rsidR="00EC0B2A" w:rsidRPr="00BA11B2">
        <w:rPr>
          <w:i/>
          <w:iCs/>
          <w:lang w:val="el-GR"/>
        </w:rPr>
        <w:t xml:space="preserve"> </w:t>
      </w:r>
      <w:r w:rsidR="00EC0B2A" w:rsidRPr="00E67EE6">
        <w:rPr>
          <w:b/>
          <w:bCs/>
          <w:i/>
          <w:iCs/>
          <w:lang w:val="el-GR"/>
        </w:rPr>
        <w:t>[</w:t>
      </w:r>
      <w:r w:rsidR="00EC0B2A" w:rsidRPr="00BA11B2">
        <w:rPr>
          <w:b/>
          <w:bCs/>
          <w:i/>
          <w:iCs/>
        </w:rPr>
        <w:sym w:font="Wingdings" w:char="F0E0"/>
      </w:r>
      <w:r w:rsidR="00EC0B2A" w:rsidRPr="00BA11B2">
        <w:rPr>
          <w:b/>
          <w:bCs/>
          <w:i/>
          <w:iCs/>
        </w:rPr>
        <w:t>FRCE</w:t>
      </w:r>
      <w:r w:rsidR="00EC0B2A" w:rsidRPr="00E67EE6">
        <w:rPr>
          <w:b/>
          <w:bCs/>
          <w:i/>
          <w:iCs/>
          <w:lang w:val="el-GR"/>
        </w:rPr>
        <w:t>]</w:t>
      </w:r>
    </w:p>
    <w:p w14:paraId="59B8DE76" w14:textId="77777777" w:rsidR="00F5699F" w:rsidRDefault="00F5699F" w:rsidP="00EC0B2A">
      <w:pPr>
        <w:tabs>
          <w:tab w:val="left" w:pos="6145"/>
        </w:tabs>
        <w:jc w:val="both"/>
        <w:rPr>
          <w:b/>
          <w:bCs/>
          <w:lang w:val="el-GR"/>
        </w:rPr>
      </w:pPr>
    </w:p>
    <w:p w14:paraId="243B27F7" w14:textId="77777777" w:rsidR="009B28BA" w:rsidRDefault="009B28BA" w:rsidP="00EC0B2A">
      <w:pPr>
        <w:tabs>
          <w:tab w:val="left" w:pos="6145"/>
        </w:tabs>
        <w:jc w:val="both"/>
        <w:rPr>
          <w:b/>
          <w:bCs/>
          <w:lang w:val="el-GR"/>
        </w:rPr>
      </w:pPr>
    </w:p>
    <w:p w14:paraId="0C78F312" w14:textId="77777777" w:rsidR="009B28BA" w:rsidRPr="009522B2" w:rsidRDefault="009B28BA" w:rsidP="00EC0B2A">
      <w:pPr>
        <w:tabs>
          <w:tab w:val="left" w:pos="6145"/>
        </w:tabs>
        <w:jc w:val="both"/>
        <w:rPr>
          <w:b/>
          <w:bCs/>
          <w:i/>
          <w:iCs/>
          <w:lang w:val="el-GR"/>
        </w:rPr>
      </w:pPr>
    </w:p>
    <w:p w14:paraId="17119FD5" w14:textId="77777777" w:rsidR="00EC0B2A" w:rsidRPr="00B6314E" w:rsidRDefault="00EC0B2A" w:rsidP="00305CCF">
      <w:pPr>
        <w:pStyle w:val="1"/>
        <w:rPr>
          <w:b/>
          <w:bCs/>
          <w:color w:val="auto"/>
          <w:lang w:val="el-GR"/>
        </w:rPr>
      </w:pPr>
    </w:p>
    <w:p w14:paraId="1A2D5AE4" w14:textId="77777777" w:rsidR="00106335" w:rsidRDefault="00106335" w:rsidP="00305CCF">
      <w:pPr>
        <w:pStyle w:val="1"/>
        <w:rPr>
          <w:b/>
          <w:bCs/>
          <w:color w:val="auto"/>
          <w:lang w:val="el-GR"/>
        </w:rPr>
      </w:pPr>
    </w:p>
    <w:p w14:paraId="1E8598FE" w14:textId="77777777" w:rsidR="00D16D21" w:rsidRPr="00330387" w:rsidRDefault="00D16D21" w:rsidP="00A30D11">
      <w:pPr>
        <w:rPr>
          <w:lang w:val="el-GR"/>
        </w:rPr>
      </w:pPr>
    </w:p>
    <w:p w14:paraId="064B1A06" w14:textId="77777777" w:rsidR="00305CCF" w:rsidRPr="003177F5" w:rsidRDefault="00CE36B0" w:rsidP="0088305E">
      <w:pPr>
        <w:pStyle w:val="1"/>
        <w:numPr>
          <w:ilvl w:val="0"/>
          <w:numId w:val="45"/>
        </w:numPr>
        <w:rPr>
          <w:b/>
          <w:bCs/>
          <w:color w:val="auto"/>
          <w:lang w:val="el-GR"/>
        </w:rPr>
      </w:pPr>
      <w:bookmarkStart w:id="2" w:name="_Toc100851200"/>
      <w:r w:rsidRPr="003177F5">
        <w:rPr>
          <w:b/>
          <w:bCs/>
          <w:color w:val="auto"/>
          <w:lang w:val="el-GR"/>
        </w:rPr>
        <w:lastRenderedPageBreak/>
        <w:t>Ασφάλεια εφοδιασμού</w:t>
      </w:r>
      <w:bookmarkEnd w:id="2"/>
    </w:p>
    <w:p w14:paraId="0A32122E" w14:textId="77777777" w:rsidR="00305CCF" w:rsidRPr="00305CCF" w:rsidRDefault="009A0095" w:rsidP="00305CCF">
      <w:pPr>
        <w:jc w:val="both"/>
        <w:rPr>
          <w:lang w:val="el-GR"/>
        </w:rPr>
      </w:pPr>
      <w:r>
        <w:rPr>
          <w:lang w:val="el-GR"/>
        </w:rPr>
        <w:t>Η απόδοση λειτουργίας του ΕΣΜΗΕ αναφορικά με την ασφάλεια εφοδιασμού θα μετρ</w:t>
      </w:r>
      <w:r w:rsidR="00823526">
        <w:rPr>
          <w:lang w:val="el-GR"/>
        </w:rPr>
        <w:t>ιέ</w:t>
      </w:r>
      <w:r>
        <w:rPr>
          <w:lang w:val="el-GR"/>
        </w:rPr>
        <w:t xml:space="preserve">ται με τους δείκτες </w:t>
      </w:r>
      <w:r w:rsidRPr="009A0095">
        <w:rPr>
          <w:b/>
          <w:bCs/>
        </w:rPr>
        <w:t>ENS</w:t>
      </w:r>
      <w:r w:rsidR="00A30D11" w:rsidRPr="00A30D11">
        <w:rPr>
          <w:b/>
          <w:bCs/>
          <w:lang w:val="el-GR"/>
        </w:rPr>
        <w:t xml:space="preserve"> (</w:t>
      </w:r>
      <w:r w:rsidR="00A30D11">
        <w:rPr>
          <w:b/>
          <w:bCs/>
        </w:rPr>
        <w:t>Energy</w:t>
      </w:r>
      <w:r w:rsidR="00A30D11" w:rsidRPr="00A30D11">
        <w:rPr>
          <w:b/>
          <w:bCs/>
          <w:lang w:val="el-GR"/>
        </w:rPr>
        <w:t xml:space="preserve"> </w:t>
      </w:r>
      <w:r w:rsidR="00A30D11">
        <w:rPr>
          <w:b/>
          <w:bCs/>
        </w:rPr>
        <w:t>Not</w:t>
      </w:r>
      <w:r w:rsidR="00A30D11" w:rsidRPr="00A30D11">
        <w:rPr>
          <w:b/>
          <w:bCs/>
          <w:lang w:val="el-GR"/>
        </w:rPr>
        <w:t xml:space="preserve"> </w:t>
      </w:r>
      <w:r w:rsidR="00A30D11">
        <w:rPr>
          <w:b/>
          <w:bCs/>
        </w:rPr>
        <w:t>Served</w:t>
      </w:r>
      <w:r w:rsidR="00A30D11" w:rsidRPr="00A30D11">
        <w:rPr>
          <w:b/>
          <w:bCs/>
          <w:lang w:val="el-GR"/>
        </w:rPr>
        <w:t>)</w:t>
      </w:r>
      <w:r w:rsidRPr="009A0095">
        <w:rPr>
          <w:b/>
          <w:bCs/>
          <w:lang w:val="el-GR"/>
        </w:rPr>
        <w:t xml:space="preserve"> και ΑΙΤ</w:t>
      </w:r>
      <w:r w:rsidR="00A30D11" w:rsidRPr="00A30D11">
        <w:rPr>
          <w:b/>
          <w:bCs/>
          <w:lang w:val="el-GR"/>
        </w:rPr>
        <w:t xml:space="preserve"> (</w:t>
      </w:r>
      <w:r w:rsidR="00A30D11">
        <w:rPr>
          <w:b/>
          <w:bCs/>
        </w:rPr>
        <w:t>Average</w:t>
      </w:r>
      <w:r w:rsidR="00A30D11" w:rsidRPr="00A30D11">
        <w:rPr>
          <w:b/>
          <w:bCs/>
          <w:lang w:val="el-GR"/>
        </w:rPr>
        <w:t xml:space="preserve"> </w:t>
      </w:r>
      <w:r w:rsidR="00A30D11">
        <w:rPr>
          <w:b/>
          <w:bCs/>
        </w:rPr>
        <w:t>Interruption</w:t>
      </w:r>
      <w:r w:rsidR="00A30D11" w:rsidRPr="00A30D11">
        <w:rPr>
          <w:b/>
          <w:bCs/>
          <w:lang w:val="el-GR"/>
        </w:rPr>
        <w:t xml:space="preserve"> </w:t>
      </w:r>
      <w:r w:rsidR="00A30D11">
        <w:rPr>
          <w:b/>
          <w:bCs/>
        </w:rPr>
        <w:t>Time</w:t>
      </w:r>
      <w:r w:rsidR="00A30D11" w:rsidRPr="00A30D11">
        <w:rPr>
          <w:b/>
          <w:bCs/>
          <w:lang w:val="el-GR"/>
        </w:rPr>
        <w:t>)</w:t>
      </w:r>
      <w:r>
        <w:rPr>
          <w:lang w:val="el-GR"/>
        </w:rPr>
        <w:t xml:space="preserve">. </w:t>
      </w:r>
      <w:r w:rsidR="00305CCF" w:rsidRPr="00305CCF">
        <w:rPr>
          <w:lang w:val="el-GR"/>
        </w:rPr>
        <w:t>Οι δείκτες</w:t>
      </w:r>
      <w:r>
        <w:rPr>
          <w:b/>
          <w:bCs/>
          <w:lang w:val="el-GR"/>
        </w:rPr>
        <w:t xml:space="preserve"> </w:t>
      </w:r>
      <w:r w:rsidRPr="009A0095">
        <w:rPr>
          <w:lang w:val="el-GR"/>
        </w:rPr>
        <w:t>αυτοί</w:t>
      </w:r>
      <w:r w:rsidR="00305CCF">
        <w:rPr>
          <w:lang w:val="el-GR"/>
        </w:rPr>
        <w:t xml:space="preserve"> </w:t>
      </w:r>
      <w:r w:rsidR="00305CCF" w:rsidRPr="006B028D">
        <w:rPr>
          <w:lang w:val="el-GR"/>
        </w:rPr>
        <w:t>επιλέχθηκαν επειδή αντικατοπτρίζουν τη συνέχεια της παροχής</w:t>
      </w:r>
      <w:r w:rsidR="00305CCF">
        <w:rPr>
          <w:lang w:val="el-GR"/>
        </w:rPr>
        <w:t>, ε</w:t>
      </w:r>
      <w:r w:rsidR="00305CCF" w:rsidRPr="006B028D">
        <w:rPr>
          <w:lang w:val="el-GR"/>
        </w:rPr>
        <w:t>πιτρέπο</w:t>
      </w:r>
      <w:r w:rsidR="00305CCF">
        <w:rPr>
          <w:lang w:val="el-GR"/>
        </w:rPr>
        <w:t>ντας κατά αυτόν τον τρόπο</w:t>
      </w:r>
      <w:r w:rsidR="00305CCF" w:rsidRPr="006B028D">
        <w:rPr>
          <w:lang w:val="el-GR"/>
        </w:rPr>
        <w:t xml:space="preserve"> </w:t>
      </w:r>
      <w:r w:rsidR="00305CCF">
        <w:rPr>
          <w:lang w:val="el-GR"/>
        </w:rPr>
        <w:t xml:space="preserve">τον έλεγχο της </w:t>
      </w:r>
      <w:r w:rsidR="00305CCF" w:rsidRPr="006B028D">
        <w:rPr>
          <w:lang w:val="el-GR"/>
        </w:rPr>
        <w:t>απόδοση</w:t>
      </w:r>
      <w:r w:rsidR="00305CCF">
        <w:rPr>
          <w:lang w:val="el-GR"/>
        </w:rPr>
        <w:t>ς</w:t>
      </w:r>
      <w:r w:rsidR="00305CCF" w:rsidRPr="006B028D">
        <w:rPr>
          <w:lang w:val="el-GR"/>
        </w:rPr>
        <w:t xml:space="preserve"> του </w:t>
      </w:r>
      <w:r w:rsidR="00305CCF">
        <w:rPr>
          <w:lang w:val="el-GR"/>
        </w:rPr>
        <w:t>Συστήματος, ως προς την</w:t>
      </w:r>
      <w:r w:rsidR="00823526" w:rsidRPr="00823526">
        <w:rPr>
          <w:lang w:val="el-GR"/>
        </w:rPr>
        <w:t xml:space="preserve"> </w:t>
      </w:r>
      <w:r w:rsidR="00823526">
        <w:rPr>
          <w:lang w:val="el-GR"/>
        </w:rPr>
        <w:t xml:space="preserve">τροφοδότηση των </w:t>
      </w:r>
      <w:r w:rsidR="008F4CE3">
        <w:rPr>
          <w:lang w:val="el-GR"/>
        </w:rPr>
        <w:t>καταναλωτών</w:t>
      </w:r>
      <w:r w:rsidR="00823526">
        <w:rPr>
          <w:lang w:val="el-GR"/>
        </w:rPr>
        <w:t xml:space="preserve"> με ηλεκτρική ισχύ στα σημεία σύνδεσης, και επομένως την</w:t>
      </w:r>
      <w:r w:rsidR="00305CCF">
        <w:rPr>
          <w:lang w:val="el-GR"/>
        </w:rPr>
        <w:t xml:space="preserve"> ικανοποίηση των προσδοκιών του</w:t>
      </w:r>
      <w:r w:rsidR="00305CCF" w:rsidRPr="006B028D">
        <w:rPr>
          <w:lang w:val="el-GR"/>
        </w:rPr>
        <w:t xml:space="preserve"> τελικού πελάτη.</w:t>
      </w:r>
      <w:r w:rsidR="00305CCF">
        <w:rPr>
          <w:lang w:val="el-GR"/>
        </w:rPr>
        <w:t xml:space="preserve"> </w:t>
      </w:r>
    </w:p>
    <w:p w14:paraId="3DF01274" w14:textId="77777777" w:rsidR="005A1972" w:rsidRPr="0095570B" w:rsidRDefault="00106335" w:rsidP="009F48E8">
      <w:pPr>
        <w:pStyle w:val="2"/>
        <w:rPr>
          <w:lang w:val="el-GR"/>
        </w:rPr>
      </w:pPr>
      <w:bookmarkStart w:id="3" w:name="_Toc100851201"/>
      <w:r w:rsidRPr="0095570B">
        <w:rPr>
          <w:lang w:val="el-GR"/>
        </w:rPr>
        <w:t xml:space="preserve">3.1 </w:t>
      </w:r>
      <w:r w:rsidR="00DF0EB5">
        <w:rPr>
          <w:lang w:val="el-GR"/>
        </w:rPr>
        <w:t>Μη εξυπηρετούμενη ενέργεια</w:t>
      </w:r>
      <w:r w:rsidR="00CE36B0" w:rsidRPr="0095570B">
        <w:rPr>
          <w:lang w:val="el-GR"/>
        </w:rPr>
        <w:t xml:space="preserve"> (ΕΝ</w:t>
      </w:r>
      <w:r w:rsidR="00CE36B0" w:rsidRPr="0095570B">
        <w:t>S</w:t>
      </w:r>
      <w:r w:rsidR="00CE36B0" w:rsidRPr="0095570B">
        <w:rPr>
          <w:lang w:val="el-GR"/>
        </w:rPr>
        <w:t>)</w:t>
      </w:r>
      <w:bookmarkEnd w:id="3"/>
    </w:p>
    <w:p w14:paraId="3E00B845" w14:textId="77777777" w:rsidR="00CE36B0" w:rsidRDefault="00106335" w:rsidP="009F48E8">
      <w:pPr>
        <w:jc w:val="both"/>
        <w:rPr>
          <w:lang w:val="el-GR"/>
        </w:rPr>
      </w:pPr>
      <w:r w:rsidRPr="00106335">
        <w:rPr>
          <w:rFonts w:ascii="Arial Black" w:hAnsi="Arial Black"/>
          <w:b/>
          <w:lang w:val="el-GR"/>
        </w:rPr>
        <w:t>3.1.1</w:t>
      </w:r>
      <w:r>
        <w:rPr>
          <w:lang w:val="el-GR"/>
        </w:rPr>
        <w:t xml:space="preserve"> </w:t>
      </w:r>
      <w:r w:rsidR="00CE36B0">
        <w:rPr>
          <w:lang w:val="el-GR"/>
        </w:rPr>
        <w:t xml:space="preserve">Ο δείκτης </w:t>
      </w:r>
      <w:r w:rsidR="00CE36B0">
        <w:t>ENS</w:t>
      </w:r>
      <w:r w:rsidR="00CE36B0" w:rsidRPr="00203122">
        <w:rPr>
          <w:lang w:val="el-GR"/>
        </w:rPr>
        <w:t xml:space="preserve"> </w:t>
      </w:r>
      <w:r w:rsidR="00CE36B0">
        <w:rPr>
          <w:lang w:val="el-GR"/>
        </w:rPr>
        <w:t>θα δίνει μία εκτίμηση της συνολικής μη εξυπηρετούμε</w:t>
      </w:r>
      <w:r w:rsidR="008F4CE3">
        <w:rPr>
          <w:lang w:val="el-GR"/>
        </w:rPr>
        <w:t>νης ενέργειας του συνδεδεμένου Φ</w:t>
      </w:r>
      <w:r w:rsidR="00CE36B0">
        <w:rPr>
          <w:lang w:val="el-GR"/>
        </w:rPr>
        <w:t xml:space="preserve">ορτίου του Συστήματος. Ως </w:t>
      </w:r>
      <w:r w:rsidR="00CE36B0" w:rsidRPr="00E20793">
        <w:rPr>
          <w:lang w:val="el-GR"/>
        </w:rPr>
        <w:t>συνολική μη εξυπηρετούμενη ενέργεια</w:t>
      </w:r>
      <w:r w:rsidR="00CE36B0">
        <w:rPr>
          <w:lang w:val="el-GR"/>
        </w:rPr>
        <w:t xml:space="preserve"> </w:t>
      </w:r>
      <w:r w:rsidR="00CE36B0" w:rsidRPr="006B028D">
        <w:rPr>
          <w:lang w:val="el-GR"/>
        </w:rPr>
        <w:t xml:space="preserve">ορίζεται το άθροισμα της ενέργειας </w:t>
      </w:r>
      <w:r w:rsidR="008F4CE3">
        <w:rPr>
          <w:b/>
          <w:lang w:val="el-GR"/>
        </w:rPr>
        <w:t xml:space="preserve">που δεν διατέθηκε σε </w:t>
      </w:r>
      <w:r w:rsidR="008F4CE3" w:rsidRPr="003B208B">
        <w:rPr>
          <w:b/>
          <w:lang w:val="el-GR"/>
        </w:rPr>
        <w:t>καταναλωτή/ες</w:t>
      </w:r>
      <w:r w:rsidR="00CE36B0" w:rsidRPr="005D135E">
        <w:rPr>
          <w:b/>
          <w:lang w:val="el-GR"/>
        </w:rPr>
        <w:t xml:space="preserve">, </w:t>
      </w:r>
      <w:r w:rsidR="00907597" w:rsidRPr="00907597">
        <w:rPr>
          <w:b/>
          <w:lang w:val="el-GR"/>
        </w:rPr>
        <w:t>συμπεριλαμβανομένων των μονάδων αντλησιοταμίευσης σε λειτουργία άντλησης και των μονάδων αποθήκευσης ηλεκτρικής ενέργειας</w:t>
      </w:r>
      <w:r w:rsidR="00CE36B0">
        <w:rPr>
          <w:lang w:val="el-GR"/>
        </w:rPr>
        <w:t xml:space="preserve">, α) </w:t>
      </w:r>
      <w:r w:rsidR="00CE36B0" w:rsidRPr="004167BA">
        <w:rPr>
          <w:lang w:val="el-GR"/>
        </w:rPr>
        <w:t>κατά τη διάρκεια</w:t>
      </w:r>
      <w:r w:rsidR="00907597" w:rsidRPr="004167BA">
        <w:rPr>
          <w:lang w:val="el-GR"/>
        </w:rPr>
        <w:t xml:space="preserve"> </w:t>
      </w:r>
      <w:r w:rsidR="004167BA" w:rsidRPr="004167BA">
        <w:rPr>
          <w:lang w:val="el-GR"/>
        </w:rPr>
        <w:t xml:space="preserve">όλων των </w:t>
      </w:r>
      <w:r w:rsidR="00907597" w:rsidRPr="004167BA">
        <w:rPr>
          <w:lang w:val="el-GR"/>
        </w:rPr>
        <w:t>περιστατικών</w:t>
      </w:r>
      <w:r w:rsidR="00CE36B0" w:rsidRPr="004167BA">
        <w:rPr>
          <w:lang w:val="el-GR"/>
        </w:rPr>
        <w:t xml:space="preserve"> </w:t>
      </w:r>
      <w:r w:rsidR="008F4CE3" w:rsidRPr="004167BA">
        <w:rPr>
          <w:lang w:val="el-GR"/>
        </w:rPr>
        <w:t>διακοπών</w:t>
      </w:r>
      <w:r w:rsidR="00CE36B0" w:rsidRPr="004167BA">
        <w:rPr>
          <w:lang w:val="el-GR"/>
        </w:rPr>
        <w:t xml:space="preserve"> απομονώσεων κυκλωμάτων </w:t>
      </w:r>
      <w:r w:rsidR="003B208B" w:rsidRPr="004167BA">
        <w:rPr>
          <w:lang w:val="el-GR"/>
        </w:rPr>
        <w:t>ή</w:t>
      </w:r>
      <w:r w:rsidR="00CE36B0" w:rsidRPr="004167BA">
        <w:rPr>
          <w:lang w:val="el-GR"/>
        </w:rPr>
        <w:t xml:space="preserve"> </w:t>
      </w:r>
      <w:r w:rsidR="008F4CE3" w:rsidRPr="004167BA">
        <w:rPr>
          <w:lang w:val="el-GR"/>
        </w:rPr>
        <w:t xml:space="preserve">λειτουργίας </w:t>
      </w:r>
      <w:r w:rsidR="00734CBE" w:rsidRPr="004167BA">
        <w:rPr>
          <w:lang w:val="el-GR"/>
        </w:rPr>
        <w:t>μετασχηματιστών</w:t>
      </w:r>
      <w:r w:rsidR="00CE36B0" w:rsidRPr="004167BA">
        <w:rPr>
          <w:lang w:val="el-GR"/>
        </w:rPr>
        <w:t>, που έλαβαν χώρα στο Σύστημα του ΕΣΜΗΕ (επίπεδο τάσης 150</w:t>
      </w:r>
      <w:r w:rsidR="00CE36B0" w:rsidRPr="004167BA">
        <w:t>kV</w:t>
      </w:r>
      <w:r w:rsidR="00CE36B0" w:rsidRPr="004167BA">
        <w:rPr>
          <w:lang w:val="el-GR"/>
        </w:rPr>
        <w:t xml:space="preserve"> </w:t>
      </w:r>
      <w:r w:rsidR="00734CBE" w:rsidRPr="004167BA">
        <w:rPr>
          <w:lang w:val="el-GR"/>
        </w:rPr>
        <w:t xml:space="preserve">και </w:t>
      </w:r>
      <w:r w:rsidR="00CE36B0" w:rsidRPr="004167BA">
        <w:rPr>
          <w:lang w:val="el-GR"/>
        </w:rPr>
        <w:t>400</w:t>
      </w:r>
      <w:r w:rsidR="00CE36B0" w:rsidRPr="004167BA">
        <w:t>kV</w:t>
      </w:r>
      <w:r w:rsidR="00CE36B0" w:rsidRPr="004167BA">
        <w:rPr>
          <w:lang w:val="el-GR"/>
        </w:rPr>
        <w:t>) και στα Όρια του Συστήματος με το δίκτυο (Υποσταθμοί 150</w:t>
      </w:r>
      <w:r w:rsidR="00CE36B0" w:rsidRPr="004167BA">
        <w:t>kV</w:t>
      </w:r>
      <w:r w:rsidR="00CE36B0" w:rsidRPr="004167BA">
        <w:rPr>
          <w:lang w:val="el-GR"/>
        </w:rPr>
        <w:t>/</w:t>
      </w:r>
      <w:r w:rsidR="00CE36B0" w:rsidRPr="004167BA">
        <w:t>MT</w:t>
      </w:r>
      <w:r w:rsidR="00CE36B0" w:rsidRPr="004167BA">
        <w:rPr>
          <w:lang w:val="el-GR"/>
        </w:rPr>
        <w:t>)</w:t>
      </w:r>
      <w:r w:rsidR="00734CBE" w:rsidRPr="004167BA">
        <w:rPr>
          <w:lang w:val="el-GR"/>
        </w:rPr>
        <w:t>,</w:t>
      </w:r>
      <w:r w:rsidR="00CE36B0">
        <w:rPr>
          <w:lang w:val="el-GR"/>
        </w:rPr>
        <w:t xml:space="preserve"> β) </w:t>
      </w:r>
      <w:r w:rsidR="000E6218">
        <w:rPr>
          <w:lang w:val="el-GR"/>
        </w:rPr>
        <w:t>κατά τη διάρκεια</w:t>
      </w:r>
      <w:r w:rsidR="00907597">
        <w:rPr>
          <w:lang w:val="el-GR"/>
        </w:rPr>
        <w:t xml:space="preserve"> περιστατικών</w:t>
      </w:r>
      <w:r w:rsidR="00CE36B0">
        <w:rPr>
          <w:lang w:val="el-GR"/>
        </w:rPr>
        <w:t xml:space="preserve"> περικοπής φορτίου</w:t>
      </w:r>
      <w:r w:rsidR="005D34C8">
        <w:rPr>
          <w:lang w:val="el-GR"/>
        </w:rPr>
        <w:t xml:space="preserve"> (</w:t>
      </w:r>
      <w:r w:rsidR="00CE36B0">
        <w:t>Load</w:t>
      </w:r>
      <w:r w:rsidR="00CE36B0" w:rsidRPr="002C4A84">
        <w:rPr>
          <w:lang w:val="el-GR"/>
        </w:rPr>
        <w:t xml:space="preserve"> </w:t>
      </w:r>
      <w:r w:rsidR="00CE36B0">
        <w:t>Shedding</w:t>
      </w:r>
      <w:r w:rsidR="005D34C8">
        <w:rPr>
          <w:lang w:val="el-GR"/>
        </w:rPr>
        <w:t>)</w:t>
      </w:r>
      <w:r w:rsidR="00CE36B0">
        <w:rPr>
          <w:lang w:val="el-GR"/>
        </w:rPr>
        <w:t xml:space="preserve"> </w:t>
      </w:r>
      <w:r w:rsidR="000E6218">
        <w:rPr>
          <w:lang w:val="el-GR"/>
        </w:rPr>
        <w:t xml:space="preserve">λόγω </w:t>
      </w:r>
      <w:r w:rsidR="00CE36B0">
        <w:rPr>
          <w:lang w:val="el-GR"/>
        </w:rPr>
        <w:t>μη επάρκεια</w:t>
      </w:r>
      <w:r w:rsidR="000E6218">
        <w:rPr>
          <w:lang w:val="el-GR"/>
        </w:rPr>
        <w:t>ς</w:t>
      </w:r>
      <w:r w:rsidR="00CE36B0">
        <w:rPr>
          <w:lang w:val="el-GR"/>
        </w:rPr>
        <w:t xml:space="preserve"> ισχύος του παραγωγικού δυναμικού</w:t>
      </w:r>
      <w:r w:rsidR="00DE427E">
        <w:rPr>
          <w:lang w:val="el-GR"/>
        </w:rPr>
        <w:t>,</w:t>
      </w:r>
      <w:r w:rsidR="000E6218">
        <w:rPr>
          <w:lang w:val="el-GR"/>
        </w:rPr>
        <w:t xml:space="preserve"> </w:t>
      </w:r>
      <w:r w:rsidR="005D34C8">
        <w:rPr>
          <w:lang w:val="el-GR"/>
        </w:rPr>
        <w:t>τήρησης των</w:t>
      </w:r>
      <w:r w:rsidR="00DE427E">
        <w:rPr>
          <w:lang w:val="el-GR"/>
        </w:rPr>
        <w:t xml:space="preserve"> </w:t>
      </w:r>
      <w:r w:rsidR="009522B2">
        <w:rPr>
          <w:lang w:val="el-GR"/>
        </w:rPr>
        <w:t xml:space="preserve">θερμικών </w:t>
      </w:r>
      <w:r w:rsidR="005D34C8">
        <w:rPr>
          <w:lang w:val="el-GR"/>
        </w:rPr>
        <w:t>ορίων</w:t>
      </w:r>
      <w:r w:rsidR="000E6218">
        <w:rPr>
          <w:lang w:val="el-GR"/>
        </w:rPr>
        <w:t xml:space="preserve"> αντοχής εξοπλισμού του</w:t>
      </w:r>
      <w:r w:rsidR="004167BA">
        <w:rPr>
          <w:lang w:val="el-GR"/>
        </w:rPr>
        <w:t xml:space="preserve"> Σ</w:t>
      </w:r>
      <w:r w:rsidR="000E6218">
        <w:rPr>
          <w:lang w:val="el-GR"/>
        </w:rPr>
        <w:t>υστήματος</w:t>
      </w:r>
      <w:r w:rsidR="005D34C8">
        <w:rPr>
          <w:lang w:val="el-GR"/>
        </w:rPr>
        <w:t xml:space="preserve"> από υπερφορτίσεις</w:t>
      </w:r>
      <w:r w:rsidR="00734CBE">
        <w:rPr>
          <w:lang w:val="el-GR"/>
        </w:rPr>
        <w:t xml:space="preserve"> ή λόγω χαμηλής τάσης στο Σύστημα (</w:t>
      </w:r>
      <w:r w:rsidR="00734CBE">
        <w:t>Undervoltage</w:t>
      </w:r>
      <w:r w:rsidR="00734CBE" w:rsidRPr="00734CBE">
        <w:rPr>
          <w:lang w:val="el-GR"/>
        </w:rPr>
        <w:t xml:space="preserve"> </w:t>
      </w:r>
      <w:r w:rsidR="00734CBE">
        <w:t>Load</w:t>
      </w:r>
      <w:r w:rsidR="00734CBE" w:rsidRPr="00734CBE">
        <w:rPr>
          <w:lang w:val="el-GR"/>
        </w:rPr>
        <w:t xml:space="preserve"> </w:t>
      </w:r>
      <w:r w:rsidR="00734CBE">
        <w:t>Shedding</w:t>
      </w:r>
      <w:r w:rsidR="00734CBE" w:rsidRPr="00734CBE">
        <w:rPr>
          <w:lang w:val="el-GR"/>
        </w:rPr>
        <w:t>)</w:t>
      </w:r>
      <w:r w:rsidR="00CE36B0">
        <w:rPr>
          <w:lang w:val="el-GR"/>
        </w:rPr>
        <w:t>.</w:t>
      </w:r>
    </w:p>
    <w:p w14:paraId="3CA9F786" w14:textId="77777777" w:rsidR="009F48E8" w:rsidRPr="009F48E8" w:rsidRDefault="00106335" w:rsidP="009F48E8">
      <w:pPr>
        <w:jc w:val="both"/>
        <w:rPr>
          <w:lang w:val="el-GR"/>
        </w:rPr>
      </w:pPr>
      <w:r w:rsidRPr="00106335">
        <w:rPr>
          <w:rFonts w:ascii="Arial Black" w:hAnsi="Arial Black"/>
          <w:lang w:val="el-GR"/>
        </w:rPr>
        <w:t>3.1.</w:t>
      </w:r>
      <w:r w:rsidR="00907597">
        <w:rPr>
          <w:rFonts w:ascii="Arial Black" w:hAnsi="Arial Black"/>
          <w:lang w:val="el-GR"/>
        </w:rPr>
        <w:t>2</w:t>
      </w:r>
      <w:r w:rsidR="009A0095">
        <w:rPr>
          <w:lang w:val="el-GR"/>
        </w:rPr>
        <w:t xml:space="preserve"> </w:t>
      </w:r>
      <w:r w:rsidR="009F48E8">
        <w:rPr>
          <w:lang w:val="el-GR"/>
        </w:rPr>
        <w:t xml:space="preserve">Ο δείκτης </w:t>
      </w:r>
      <w:r w:rsidR="009F48E8">
        <w:t>ENS</w:t>
      </w:r>
      <w:r w:rsidR="009F48E8" w:rsidRPr="009F48E8">
        <w:rPr>
          <w:lang w:val="el-GR"/>
        </w:rPr>
        <w:t xml:space="preserve"> </w:t>
      </w:r>
      <w:r w:rsidR="009F48E8">
        <w:rPr>
          <w:lang w:val="el-GR"/>
        </w:rPr>
        <w:t>θα υπολογίζεται</w:t>
      </w:r>
      <w:r w:rsidR="00C95F03">
        <w:rPr>
          <w:lang w:val="el-GR"/>
        </w:rPr>
        <w:t xml:space="preserve"> σε </w:t>
      </w:r>
      <w:r w:rsidR="00C95F03">
        <w:t>MWh</w:t>
      </w:r>
      <w:r w:rsidR="009F48E8">
        <w:rPr>
          <w:lang w:val="el-GR"/>
        </w:rPr>
        <w:t xml:space="preserve"> ως εξής</w:t>
      </w:r>
      <w:r w:rsidR="009F48E8" w:rsidRPr="009F48E8">
        <w:rPr>
          <w:lang w:val="el-GR"/>
        </w:rPr>
        <w:t>:</w:t>
      </w:r>
    </w:p>
    <w:p w14:paraId="5F899BF5" w14:textId="77777777" w:rsidR="000A69D0" w:rsidRDefault="000A69D0" w:rsidP="009F48E8">
      <w:pPr>
        <w:jc w:val="both"/>
        <w:rPr>
          <w:lang w:val="el-GR"/>
        </w:rPr>
      </w:pPr>
      <m:oMathPara>
        <m:oMath>
          <m:r>
            <m:rPr>
              <m:sty m:val="bi"/>
            </m:rPr>
            <w:rPr>
              <w:rFonts w:ascii="Cambria Math" w:hAnsi="Cambria Math"/>
            </w:rPr>
            <m:t>ENS</m:t>
          </m:r>
          <m:r>
            <m:rPr>
              <m:sty m:val="bi"/>
            </m:rPr>
            <w:rPr>
              <w:rFonts w:ascii="Cambria Math" w:hAnsi="Cambria Math"/>
              <w:lang w:val="el-GR"/>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hAnsi="Cambria Math"/>
                  <w:lang w:val="el-GR"/>
                </w:rPr>
                <m:t>=1</m:t>
              </m:r>
            </m:sub>
            <m:sup>
              <m:r>
                <m:rPr>
                  <m:sty m:val="bi"/>
                </m:rPr>
                <w:rPr>
                  <w:rFonts w:ascii="Cambria Math" w:hAnsi="Cambria Math"/>
                </w:rPr>
                <m:t>Κt</m:t>
              </m:r>
            </m:sup>
            <m:e>
              <m:r>
                <m:rPr>
                  <m:sty m:val="bi"/>
                </m:rPr>
                <w:rPr>
                  <w:rFonts w:ascii="Cambria Math" w:hAnsi="Cambria Math"/>
                </w:rPr>
                <m:t>PDi</m:t>
              </m:r>
              <m:r>
                <m:rPr>
                  <m:sty m:val="bi"/>
                </m:rPr>
                <w:rPr>
                  <w:rFonts w:ascii="Cambria Math" w:hAnsi="Cambria Math"/>
                  <w:lang w:val="el-GR"/>
                </w:rPr>
                <m:t>*</m:t>
              </m:r>
              <m:r>
                <m:rPr>
                  <m:sty m:val="bi"/>
                </m:rPr>
                <w:rPr>
                  <w:rFonts w:ascii="Cambria Math" w:hAnsi="Cambria Math"/>
                </w:rPr>
                <m:t>Hi</m:t>
              </m:r>
            </m:e>
          </m:nary>
        </m:oMath>
      </m:oMathPara>
    </w:p>
    <w:p w14:paraId="3D30DC66" w14:textId="77777777" w:rsidR="000A69D0" w:rsidRPr="00567241" w:rsidRDefault="000A69D0" w:rsidP="009F48E8">
      <w:pPr>
        <w:jc w:val="both"/>
        <w:rPr>
          <w:rFonts w:eastAsiaTheme="minorEastAsia"/>
          <w:lang w:val="el-GR"/>
        </w:rPr>
      </w:pPr>
      <w:r>
        <w:rPr>
          <w:rFonts w:eastAsiaTheme="minorEastAsia"/>
          <w:lang w:val="el-GR"/>
        </w:rPr>
        <w:t>Όπου</w:t>
      </w:r>
      <w:r w:rsidRPr="00567241">
        <w:rPr>
          <w:rFonts w:eastAsiaTheme="minorEastAsia"/>
          <w:lang w:val="el-GR"/>
        </w:rPr>
        <w:t>:</w:t>
      </w:r>
    </w:p>
    <w:p w14:paraId="1683F918" w14:textId="77777777" w:rsidR="000A69D0" w:rsidRPr="00106335" w:rsidRDefault="000A69D0" w:rsidP="00106335">
      <w:pPr>
        <w:pStyle w:val="a3"/>
        <w:numPr>
          <w:ilvl w:val="0"/>
          <w:numId w:val="25"/>
        </w:numPr>
        <w:jc w:val="both"/>
        <w:rPr>
          <w:rFonts w:eastAsiaTheme="minorEastAsia"/>
          <w:lang w:val="el-GR"/>
        </w:rPr>
      </w:pPr>
      <w:r w:rsidRPr="00106335">
        <w:rPr>
          <w:rFonts w:eastAsiaTheme="minorEastAsia"/>
        </w:rPr>
        <w:t>PDi</w:t>
      </w:r>
      <w:r w:rsidRPr="00106335">
        <w:rPr>
          <w:rFonts w:eastAsiaTheme="minorEastAsia"/>
          <w:lang w:val="el-GR"/>
        </w:rPr>
        <w:t xml:space="preserve"> = Απώλεια φορτίου από </w:t>
      </w:r>
      <w:r w:rsidR="004B57EF">
        <w:rPr>
          <w:rFonts w:eastAsiaTheme="minorEastAsia"/>
          <w:lang w:val="el-GR"/>
        </w:rPr>
        <w:t xml:space="preserve">το περιστατικό </w:t>
      </w:r>
      <w:r w:rsidRPr="00106335">
        <w:rPr>
          <w:rFonts w:eastAsiaTheme="minorEastAsia"/>
          <w:lang w:val="el-GR"/>
        </w:rPr>
        <w:t>διακοπή</w:t>
      </w:r>
      <w:r w:rsidR="004B57EF">
        <w:rPr>
          <w:rFonts w:eastAsiaTheme="minorEastAsia"/>
          <w:lang w:val="el-GR"/>
        </w:rPr>
        <w:t>ς τροφοδότησης «</w:t>
      </w:r>
      <w:r w:rsidR="004B57EF">
        <w:rPr>
          <w:rFonts w:eastAsiaTheme="minorEastAsia"/>
        </w:rPr>
        <w:t>i</w:t>
      </w:r>
      <w:r w:rsidR="004B57EF">
        <w:rPr>
          <w:rFonts w:eastAsiaTheme="minorEastAsia"/>
          <w:lang w:val="el-GR"/>
        </w:rPr>
        <w:t>»</w:t>
      </w:r>
      <w:r w:rsidRPr="00106335">
        <w:rPr>
          <w:rFonts w:eastAsiaTheme="minorEastAsia"/>
          <w:lang w:val="el-GR"/>
        </w:rPr>
        <w:t xml:space="preserve"> (σε </w:t>
      </w:r>
      <w:r w:rsidRPr="00106335">
        <w:rPr>
          <w:rFonts w:eastAsiaTheme="minorEastAsia"/>
        </w:rPr>
        <w:t>MW</w:t>
      </w:r>
      <w:r w:rsidR="008416F9">
        <w:rPr>
          <w:rFonts w:eastAsiaTheme="minorEastAsia"/>
          <w:lang w:val="el-GR"/>
        </w:rPr>
        <w:t>). Εκτιμάται</w:t>
      </w:r>
      <w:r w:rsidR="00E341F8" w:rsidRPr="00E341F8">
        <w:rPr>
          <w:rFonts w:eastAsiaTheme="minorEastAsia"/>
          <w:lang w:val="el-GR"/>
        </w:rPr>
        <w:t xml:space="preserve"> </w:t>
      </w:r>
      <w:r w:rsidR="00E341F8" w:rsidRPr="00106335">
        <w:rPr>
          <w:rFonts w:eastAsiaTheme="minorEastAsia"/>
          <w:lang w:val="el-GR"/>
        </w:rPr>
        <w:t xml:space="preserve">μέσω </w:t>
      </w:r>
      <w:r w:rsidR="00E341F8" w:rsidRPr="00106335">
        <w:rPr>
          <w:lang w:val="el-GR"/>
        </w:rPr>
        <w:t>της ισχύος του φορτίου που υπέστη διακοπή τροφοδότησης</w:t>
      </w:r>
      <w:r w:rsidR="00E341F8" w:rsidRPr="00E341F8">
        <w:rPr>
          <w:lang w:val="el-GR"/>
        </w:rPr>
        <w:t>,</w:t>
      </w:r>
      <w:r w:rsidR="00E341F8" w:rsidRPr="00106335">
        <w:rPr>
          <w:lang w:val="el-GR"/>
        </w:rPr>
        <w:t xml:space="preserve"> </w:t>
      </w:r>
      <w:r w:rsidR="008416F9">
        <w:rPr>
          <w:lang w:val="el-GR"/>
        </w:rPr>
        <w:t>εκείνη τη χρονική στιγμή</w:t>
      </w:r>
      <w:r w:rsidR="00E341F8" w:rsidRPr="00106335">
        <w:rPr>
          <w:lang w:val="el-GR"/>
        </w:rPr>
        <w:t xml:space="preserve"> </w:t>
      </w:r>
      <w:r w:rsidR="008416F9">
        <w:rPr>
          <w:lang w:val="el-GR"/>
        </w:rPr>
        <w:t>ό</w:t>
      </w:r>
      <w:r w:rsidR="00E341F8" w:rsidRPr="00106335">
        <w:rPr>
          <w:lang w:val="el-GR"/>
        </w:rPr>
        <w:t xml:space="preserve">που </w:t>
      </w:r>
      <w:r w:rsidR="008416F9" w:rsidRPr="00106335">
        <w:rPr>
          <w:lang w:val="el-GR"/>
        </w:rPr>
        <w:t>σημειώθηκε</w:t>
      </w:r>
      <w:r w:rsidR="00E341F8" w:rsidRPr="00106335">
        <w:rPr>
          <w:lang w:val="el-GR"/>
        </w:rPr>
        <w:t xml:space="preserve"> η διακοπή</w:t>
      </w:r>
      <w:r w:rsidR="008416F9">
        <w:rPr>
          <w:rFonts w:eastAsiaTheme="minorEastAsia"/>
          <w:lang w:val="el-GR"/>
        </w:rPr>
        <w:t>,</w:t>
      </w:r>
    </w:p>
    <w:p w14:paraId="5FF7BE7F" w14:textId="63722066" w:rsidR="000A69D0" w:rsidRPr="00106335" w:rsidRDefault="000A69D0" w:rsidP="00106335">
      <w:pPr>
        <w:pStyle w:val="a3"/>
        <w:numPr>
          <w:ilvl w:val="0"/>
          <w:numId w:val="25"/>
        </w:numPr>
        <w:jc w:val="both"/>
        <w:rPr>
          <w:rFonts w:eastAsiaTheme="minorEastAsia"/>
          <w:lang w:val="el-GR"/>
        </w:rPr>
      </w:pPr>
      <w:r w:rsidRPr="00106335">
        <w:rPr>
          <w:rFonts w:eastAsiaTheme="minorEastAsia"/>
        </w:rPr>
        <w:t>Hi</w:t>
      </w:r>
      <w:r w:rsidRPr="00106335">
        <w:rPr>
          <w:rFonts w:eastAsiaTheme="minorEastAsia"/>
          <w:lang w:val="el-GR"/>
        </w:rPr>
        <w:t xml:space="preserve"> = Διάρκεια </w:t>
      </w:r>
      <w:r w:rsidR="00F82617">
        <w:rPr>
          <w:rFonts w:eastAsiaTheme="minorEastAsia"/>
          <w:lang w:val="el-GR"/>
        </w:rPr>
        <w:t xml:space="preserve">περιστατικού </w:t>
      </w:r>
      <w:r w:rsidRPr="00106335">
        <w:rPr>
          <w:rFonts w:eastAsiaTheme="minorEastAsia"/>
          <w:lang w:val="el-GR"/>
        </w:rPr>
        <w:t>διακοπής «</w:t>
      </w:r>
      <w:r w:rsidRPr="00106335">
        <w:rPr>
          <w:rFonts w:eastAsiaTheme="minorEastAsia"/>
        </w:rPr>
        <w:t>i</w:t>
      </w:r>
      <w:r w:rsidRPr="00106335">
        <w:rPr>
          <w:rFonts w:eastAsiaTheme="minorEastAsia"/>
          <w:lang w:val="el-GR"/>
        </w:rPr>
        <w:t>» (σε ώρες)</w:t>
      </w:r>
    </w:p>
    <w:p w14:paraId="3E53F17E" w14:textId="77777777" w:rsidR="000A69D0" w:rsidRPr="00106335" w:rsidRDefault="008416F9" w:rsidP="00106335">
      <w:pPr>
        <w:pStyle w:val="a3"/>
        <w:numPr>
          <w:ilvl w:val="0"/>
          <w:numId w:val="25"/>
        </w:numPr>
        <w:jc w:val="both"/>
        <w:rPr>
          <w:rFonts w:eastAsiaTheme="minorEastAsia"/>
          <w:lang w:val="el-GR"/>
        </w:rPr>
      </w:pPr>
      <w:r>
        <w:rPr>
          <w:rFonts w:eastAsiaTheme="minorEastAsia"/>
          <w:lang w:val="el-GR"/>
        </w:rPr>
        <w:t>Κ</w:t>
      </w:r>
      <w:r w:rsidR="000A69D0" w:rsidRPr="00106335">
        <w:rPr>
          <w:rFonts w:eastAsiaTheme="minorEastAsia"/>
        </w:rPr>
        <w:t>t</w:t>
      </w:r>
      <w:r w:rsidR="000A69D0" w:rsidRPr="00106335">
        <w:rPr>
          <w:rFonts w:eastAsiaTheme="minorEastAsia"/>
          <w:lang w:val="el-GR"/>
        </w:rPr>
        <w:t xml:space="preserve"> = Συνολικός αριθμός γεγονότων διακοπών </w:t>
      </w:r>
      <w:r w:rsidR="005C0D83">
        <w:rPr>
          <w:rFonts w:eastAsiaTheme="minorEastAsia"/>
          <w:lang w:val="el-GR"/>
        </w:rPr>
        <w:t xml:space="preserve">τροφοδότησης </w:t>
      </w:r>
      <w:r w:rsidR="000A69D0" w:rsidRPr="00106335">
        <w:rPr>
          <w:rFonts w:eastAsiaTheme="minorEastAsia"/>
          <w:lang w:val="el-GR"/>
        </w:rPr>
        <w:t>στο Σύστ</w:t>
      </w:r>
      <w:r w:rsidR="004B57EF">
        <w:rPr>
          <w:rFonts w:eastAsiaTheme="minorEastAsia"/>
          <w:lang w:val="el-GR"/>
        </w:rPr>
        <w:t>ημα και στα Όρια του Συστήματος</w:t>
      </w:r>
      <w:r w:rsidRPr="008416F9">
        <w:rPr>
          <w:rFonts w:eastAsiaTheme="minorEastAsia"/>
          <w:lang w:val="el-GR"/>
        </w:rPr>
        <w:t xml:space="preserve"> </w:t>
      </w:r>
      <w:r w:rsidR="000A69D0" w:rsidRPr="00106335">
        <w:rPr>
          <w:rFonts w:eastAsiaTheme="minorEastAsia"/>
          <w:lang w:val="el-GR"/>
        </w:rPr>
        <w:t>κατά το έτος αναφοράς</w:t>
      </w:r>
      <w:r>
        <w:rPr>
          <w:rFonts w:eastAsiaTheme="minorEastAsia"/>
          <w:lang w:val="el-GR"/>
        </w:rPr>
        <w:t xml:space="preserve"> </w:t>
      </w:r>
      <w:r w:rsidR="004B57EF">
        <w:rPr>
          <w:rFonts w:eastAsiaTheme="minorEastAsia"/>
          <w:lang w:val="el-GR"/>
        </w:rPr>
        <w:t>«</w:t>
      </w:r>
      <w:r>
        <w:rPr>
          <w:rFonts w:eastAsiaTheme="minorEastAsia"/>
        </w:rPr>
        <w:t>t</w:t>
      </w:r>
      <w:r w:rsidR="004B57EF">
        <w:rPr>
          <w:rFonts w:eastAsiaTheme="minorEastAsia"/>
          <w:lang w:val="el-GR"/>
        </w:rPr>
        <w:t>»</w:t>
      </w:r>
    </w:p>
    <w:p w14:paraId="35644312" w14:textId="77777777" w:rsidR="00C95F03" w:rsidRPr="008416F9" w:rsidRDefault="008416F9" w:rsidP="008416F9">
      <w:pPr>
        <w:jc w:val="both"/>
        <w:rPr>
          <w:rFonts w:eastAsiaTheme="minorEastAsia"/>
          <w:lang w:val="el-GR"/>
        </w:rPr>
      </w:pPr>
      <w:r w:rsidRPr="008416F9">
        <w:rPr>
          <w:rFonts w:ascii="Arial Black" w:eastAsiaTheme="minorEastAsia" w:hAnsi="Arial Black"/>
          <w:lang w:val="el-GR"/>
        </w:rPr>
        <w:t>3.1.</w:t>
      </w:r>
      <w:r w:rsidR="00907597">
        <w:rPr>
          <w:rFonts w:ascii="Arial Black" w:eastAsiaTheme="minorEastAsia" w:hAnsi="Arial Black"/>
          <w:lang w:val="el-GR"/>
        </w:rPr>
        <w:t>3</w:t>
      </w:r>
      <w:r w:rsidR="009A0095">
        <w:rPr>
          <w:rFonts w:eastAsiaTheme="minorEastAsia"/>
          <w:lang w:val="el-GR"/>
        </w:rPr>
        <w:t xml:space="preserve"> </w:t>
      </w:r>
      <w:r w:rsidR="005742C6">
        <w:rPr>
          <w:rFonts w:eastAsiaTheme="minorEastAsia"/>
          <w:lang w:val="el-GR"/>
        </w:rPr>
        <w:t xml:space="preserve">Ο υπολογισμός του δείκτη </w:t>
      </w:r>
      <w:r w:rsidR="005742C6">
        <w:rPr>
          <w:rFonts w:eastAsiaTheme="minorEastAsia"/>
        </w:rPr>
        <w:t>ENS</w:t>
      </w:r>
      <w:r w:rsidR="005742C6" w:rsidRPr="005742C6">
        <w:rPr>
          <w:rFonts w:eastAsiaTheme="minorEastAsia"/>
          <w:lang w:val="el-GR"/>
        </w:rPr>
        <w:t xml:space="preserve"> </w:t>
      </w:r>
      <w:r w:rsidR="005742C6">
        <w:rPr>
          <w:rFonts w:eastAsiaTheme="minorEastAsia"/>
          <w:lang w:val="el-GR"/>
        </w:rPr>
        <w:t xml:space="preserve">θα γίνεται </w:t>
      </w:r>
      <w:r w:rsidR="009A0095">
        <w:rPr>
          <w:rFonts w:eastAsiaTheme="minorEastAsia"/>
          <w:lang w:val="el-GR"/>
        </w:rPr>
        <w:t xml:space="preserve">σε ετήσια βάση, ενώ θα παρατίθεται σύγκριση με τις </w:t>
      </w:r>
      <w:r w:rsidR="003B208B">
        <w:rPr>
          <w:rFonts w:eastAsiaTheme="minorEastAsia"/>
          <w:lang w:val="el-GR"/>
        </w:rPr>
        <w:t xml:space="preserve">αντίστοιχες </w:t>
      </w:r>
      <w:r w:rsidR="009A0095">
        <w:rPr>
          <w:rFonts w:eastAsiaTheme="minorEastAsia"/>
          <w:lang w:val="el-GR"/>
        </w:rPr>
        <w:t xml:space="preserve">τιμές </w:t>
      </w:r>
      <w:r w:rsidR="005742C6" w:rsidRPr="005742C6">
        <w:rPr>
          <w:rFonts w:eastAsiaTheme="minorEastAsia"/>
          <w:lang w:val="el-GR"/>
        </w:rPr>
        <w:t xml:space="preserve"> </w:t>
      </w:r>
      <w:r w:rsidR="005742C6">
        <w:rPr>
          <w:rFonts w:eastAsiaTheme="minorEastAsia"/>
          <w:lang w:val="el-GR"/>
        </w:rPr>
        <w:t xml:space="preserve">που </w:t>
      </w:r>
      <w:r w:rsidR="009A0095">
        <w:rPr>
          <w:rFonts w:eastAsiaTheme="minorEastAsia"/>
          <w:lang w:val="el-GR"/>
        </w:rPr>
        <w:t>προέκυψαν για τα προηγούμενα δύο έτη από το έτος αναφοράς.</w:t>
      </w:r>
      <w:r w:rsidR="00C95F03" w:rsidRPr="008416F9">
        <w:rPr>
          <w:lang w:val="el-GR"/>
        </w:rPr>
        <w:tab/>
      </w:r>
    </w:p>
    <w:p w14:paraId="626DCA46" w14:textId="77777777" w:rsidR="009A7790" w:rsidRDefault="00106335" w:rsidP="009F48E8">
      <w:pPr>
        <w:jc w:val="both"/>
        <w:rPr>
          <w:lang w:val="el-GR"/>
        </w:rPr>
      </w:pPr>
      <w:r w:rsidRPr="00106335">
        <w:rPr>
          <w:rFonts w:ascii="Arial Black" w:hAnsi="Arial Black"/>
          <w:lang w:val="el-GR"/>
        </w:rPr>
        <w:t>3.1.</w:t>
      </w:r>
      <w:r w:rsidR="00907597">
        <w:rPr>
          <w:rFonts w:ascii="Arial Black" w:hAnsi="Arial Black"/>
          <w:lang w:val="el-GR"/>
        </w:rPr>
        <w:t>4</w:t>
      </w:r>
      <w:r>
        <w:rPr>
          <w:lang w:val="el-GR"/>
        </w:rPr>
        <w:t xml:space="preserve"> </w:t>
      </w:r>
      <w:r w:rsidR="009A7790">
        <w:rPr>
          <w:lang w:val="el-GR"/>
        </w:rPr>
        <w:t xml:space="preserve">Ο δείκτης μη εξυπηρετούμενης ενέργειας </w:t>
      </w:r>
      <w:r w:rsidR="000A69D0">
        <w:rPr>
          <w:lang w:val="el-GR"/>
        </w:rPr>
        <w:t>(</w:t>
      </w:r>
      <w:r w:rsidR="000A69D0">
        <w:t>ENS</w:t>
      </w:r>
      <w:r w:rsidR="000A69D0" w:rsidRPr="000A69D0">
        <w:rPr>
          <w:lang w:val="el-GR"/>
        </w:rPr>
        <w:t xml:space="preserve">) </w:t>
      </w:r>
      <w:r w:rsidR="009A7790">
        <w:rPr>
          <w:lang w:val="el-GR"/>
        </w:rPr>
        <w:t>υπολογίζεται διακριτά</w:t>
      </w:r>
      <w:r w:rsidR="000A69D0" w:rsidRPr="000A69D0">
        <w:rPr>
          <w:lang w:val="el-GR"/>
        </w:rPr>
        <w:t>:</w:t>
      </w:r>
      <w:r w:rsidR="009A7790">
        <w:rPr>
          <w:lang w:val="el-GR"/>
        </w:rPr>
        <w:t xml:space="preserve"> </w:t>
      </w:r>
    </w:p>
    <w:p w14:paraId="28F5DD3C" w14:textId="42E1D8FA" w:rsidR="009A7790" w:rsidRPr="00AD2800" w:rsidRDefault="009A7790" w:rsidP="00106335">
      <w:pPr>
        <w:pStyle w:val="a3"/>
        <w:numPr>
          <w:ilvl w:val="0"/>
          <w:numId w:val="27"/>
        </w:numPr>
        <w:jc w:val="both"/>
        <w:rPr>
          <w:lang w:val="el-GR"/>
        </w:rPr>
      </w:pPr>
      <w:r w:rsidRPr="00AD2800">
        <w:rPr>
          <w:lang w:val="el-GR"/>
        </w:rPr>
        <w:t xml:space="preserve">για το </w:t>
      </w:r>
      <w:r w:rsidR="003B208B">
        <w:rPr>
          <w:lang w:val="el-GR"/>
        </w:rPr>
        <w:t xml:space="preserve">σύνολο των γεγονότων </w:t>
      </w:r>
      <w:r w:rsidR="00F36849" w:rsidRPr="00AD2800">
        <w:rPr>
          <w:lang w:val="el-GR"/>
        </w:rPr>
        <w:t>μη</w:t>
      </w:r>
      <w:r w:rsidR="00F36849">
        <w:rPr>
          <w:lang w:val="el-GR"/>
        </w:rPr>
        <w:t xml:space="preserve"> προγραμματισμένης διακοπής</w:t>
      </w:r>
      <w:r w:rsidR="003B208B">
        <w:rPr>
          <w:lang w:val="el-GR"/>
        </w:rPr>
        <w:t xml:space="preserve"> συνολικής</w:t>
      </w:r>
      <w:r w:rsidRPr="00AD2800">
        <w:rPr>
          <w:lang w:val="el-GR"/>
        </w:rPr>
        <w:t xml:space="preserve"> διάρκεια</w:t>
      </w:r>
      <w:r w:rsidR="003B208B">
        <w:rPr>
          <w:lang w:val="el-GR"/>
        </w:rPr>
        <w:t>ς</w:t>
      </w:r>
      <w:r w:rsidRPr="00AD2800">
        <w:rPr>
          <w:lang w:val="el-GR"/>
        </w:rPr>
        <w:t xml:space="preserve"> μικρότερης των τριών λεπτών (</w:t>
      </w:r>
      <w:r>
        <w:t>t</w:t>
      </w:r>
      <w:r w:rsidRPr="00AD2800">
        <w:rPr>
          <w:lang w:val="el-GR"/>
        </w:rPr>
        <w:t>&lt;3</w:t>
      </w:r>
      <w:r>
        <w:t>min</w:t>
      </w:r>
      <w:r w:rsidRPr="00AD2800">
        <w:rPr>
          <w:lang w:val="el-GR"/>
        </w:rPr>
        <w:t xml:space="preserve">), </w:t>
      </w:r>
    </w:p>
    <w:p w14:paraId="7B351FA9" w14:textId="77777777" w:rsidR="009A7790" w:rsidRPr="00AD2800" w:rsidRDefault="009A7790" w:rsidP="00106335">
      <w:pPr>
        <w:pStyle w:val="a3"/>
        <w:numPr>
          <w:ilvl w:val="0"/>
          <w:numId w:val="27"/>
        </w:numPr>
        <w:jc w:val="both"/>
        <w:rPr>
          <w:lang w:val="el-GR"/>
        </w:rPr>
      </w:pPr>
      <w:r w:rsidRPr="00AD2800">
        <w:rPr>
          <w:lang w:val="el-GR"/>
        </w:rPr>
        <w:t xml:space="preserve">για το σύνολο των γεγονότων διακοπών </w:t>
      </w:r>
      <w:r w:rsidR="003B208B">
        <w:rPr>
          <w:lang w:val="el-GR"/>
        </w:rPr>
        <w:t xml:space="preserve">συνολικής </w:t>
      </w:r>
      <w:r w:rsidRPr="00AD2800">
        <w:rPr>
          <w:lang w:val="el-GR"/>
        </w:rPr>
        <w:t>διάρκειας μεγαλύτερης ή ίσης των τριών λεπτών (</w:t>
      </w:r>
      <w:r>
        <w:t>t</w:t>
      </w:r>
      <w:r w:rsidRPr="00AD2800">
        <w:rPr>
          <w:lang w:val="el-GR"/>
        </w:rPr>
        <w:t>&gt;=3</w:t>
      </w:r>
      <w:r>
        <w:t>min</w:t>
      </w:r>
      <w:r w:rsidRPr="00AD2800">
        <w:rPr>
          <w:lang w:val="el-GR"/>
        </w:rPr>
        <w:t xml:space="preserve">), με κατανομή σε </w:t>
      </w:r>
      <w:r w:rsidR="00A70BAF">
        <w:rPr>
          <w:lang w:val="el-GR"/>
        </w:rPr>
        <w:t xml:space="preserve">α) </w:t>
      </w:r>
      <w:r w:rsidRPr="00AD2800">
        <w:rPr>
          <w:lang w:val="el-GR"/>
        </w:rPr>
        <w:t xml:space="preserve">προγραμματισμένες και </w:t>
      </w:r>
      <w:r w:rsidR="00A70BAF">
        <w:rPr>
          <w:lang w:val="el-GR"/>
        </w:rPr>
        <w:t xml:space="preserve">β) </w:t>
      </w:r>
      <w:r w:rsidRPr="00AD2800">
        <w:rPr>
          <w:lang w:val="el-GR"/>
        </w:rPr>
        <w:t>μη</w:t>
      </w:r>
      <w:r w:rsidR="00A70BAF">
        <w:rPr>
          <w:lang w:val="el-GR"/>
        </w:rPr>
        <w:t xml:space="preserve"> προγραμματισμένες</w:t>
      </w:r>
      <w:r w:rsidRPr="00AD2800">
        <w:rPr>
          <w:lang w:val="el-GR"/>
        </w:rPr>
        <w:t xml:space="preserve"> διακοπές. </w:t>
      </w:r>
    </w:p>
    <w:p w14:paraId="400C8091" w14:textId="67A35F2F" w:rsidR="000A69D0" w:rsidRPr="00C95F03" w:rsidRDefault="00106335" w:rsidP="009F48E8">
      <w:pPr>
        <w:jc w:val="both"/>
        <w:rPr>
          <w:lang w:val="el-GR"/>
        </w:rPr>
      </w:pPr>
      <w:r w:rsidRPr="00106335">
        <w:rPr>
          <w:rFonts w:ascii="Arial Black" w:hAnsi="Arial Black"/>
          <w:lang w:val="el-GR"/>
        </w:rPr>
        <w:lastRenderedPageBreak/>
        <w:t>3.1.</w:t>
      </w:r>
      <w:r w:rsidR="00907597">
        <w:rPr>
          <w:rFonts w:ascii="Arial Black" w:hAnsi="Arial Black"/>
          <w:lang w:val="el-GR"/>
        </w:rPr>
        <w:t>5</w:t>
      </w:r>
      <w:r>
        <w:rPr>
          <w:lang w:val="el-GR"/>
        </w:rPr>
        <w:t xml:space="preserve"> </w:t>
      </w:r>
      <w:r w:rsidR="009A7790">
        <w:rPr>
          <w:lang w:val="el-GR"/>
        </w:rPr>
        <w:t xml:space="preserve">Εκτός από την τιμή του δείκτη </w:t>
      </w:r>
      <w:r w:rsidR="009A7790">
        <w:t>ENS</w:t>
      </w:r>
      <w:r w:rsidR="009A7790" w:rsidRPr="00AE00DB">
        <w:rPr>
          <w:lang w:val="el-GR"/>
        </w:rPr>
        <w:t xml:space="preserve"> </w:t>
      </w:r>
      <w:r w:rsidR="009A7790">
        <w:rPr>
          <w:lang w:val="el-GR"/>
        </w:rPr>
        <w:t xml:space="preserve">που </w:t>
      </w:r>
      <w:r w:rsidR="00273E53">
        <w:rPr>
          <w:lang w:val="el-GR"/>
        </w:rPr>
        <w:t>υπολογίζεται</w:t>
      </w:r>
      <w:r w:rsidR="004B57EF">
        <w:rPr>
          <w:lang w:val="el-GR"/>
        </w:rPr>
        <w:t xml:space="preserve"> </w:t>
      </w:r>
      <w:r w:rsidR="00F36849">
        <w:rPr>
          <w:lang w:val="el-GR"/>
        </w:rPr>
        <w:t xml:space="preserve">αφενός </w:t>
      </w:r>
      <w:r w:rsidR="009A7790">
        <w:rPr>
          <w:lang w:val="el-GR"/>
        </w:rPr>
        <w:t xml:space="preserve">για το </w:t>
      </w:r>
      <w:r w:rsidR="009A7790" w:rsidRPr="000E32DA">
        <w:rPr>
          <w:lang w:val="el-GR"/>
        </w:rPr>
        <w:t>σύνολο</w:t>
      </w:r>
      <w:r w:rsidR="00A70BAF">
        <w:rPr>
          <w:lang w:val="el-GR"/>
        </w:rPr>
        <w:t xml:space="preserve"> των πρ</w:t>
      </w:r>
      <w:r w:rsidR="00F36849">
        <w:rPr>
          <w:lang w:val="el-GR"/>
        </w:rPr>
        <w:t>ο</w:t>
      </w:r>
      <w:r w:rsidR="00A70BAF">
        <w:rPr>
          <w:lang w:val="el-GR"/>
        </w:rPr>
        <w:t>γραμματισμένων</w:t>
      </w:r>
      <w:r w:rsidR="00F36849">
        <w:rPr>
          <w:lang w:val="el-GR"/>
        </w:rPr>
        <w:t xml:space="preserve">, αφετέρου </w:t>
      </w:r>
      <w:r w:rsidR="00273E53">
        <w:rPr>
          <w:lang w:val="el-GR"/>
        </w:rPr>
        <w:t>για</w:t>
      </w:r>
      <w:r w:rsidR="009A7790">
        <w:rPr>
          <w:lang w:val="el-GR"/>
        </w:rPr>
        <w:t xml:space="preserve"> </w:t>
      </w:r>
      <w:r w:rsidR="00273E53">
        <w:rPr>
          <w:lang w:val="el-GR"/>
        </w:rPr>
        <w:t xml:space="preserve">το σύνολο των </w:t>
      </w:r>
      <w:r w:rsidR="009A7790">
        <w:rPr>
          <w:lang w:val="el-GR"/>
        </w:rPr>
        <w:t>μη</w:t>
      </w:r>
      <w:r w:rsidR="000E32DA">
        <w:rPr>
          <w:lang w:val="el-GR"/>
        </w:rPr>
        <w:t xml:space="preserve"> προγραμματισμένων</w:t>
      </w:r>
      <w:r w:rsidR="009A7790">
        <w:rPr>
          <w:lang w:val="el-GR"/>
        </w:rPr>
        <w:t xml:space="preserve"> διακοπών</w:t>
      </w:r>
      <w:r w:rsidR="000E32DA">
        <w:rPr>
          <w:lang w:val="el-GR"/>
        </w:rPr>
        <w:t xml:space="preserve"> διακριτά</w:t>
      </w:r>
      <w:r w:rsidR="009A7790">
        <w:rPr>
          <w:lang w:val="el-GR"/>
        </w:rPr>
        <w:t xml:space="preserve"> για </w:t>
      </w:r>
      <w:r w:rsidR="004B4291">
        <w:rPr>
          <w:lang w:val="el-GR"/>
        </w:rPr>
        <w:t xml:space="preserve">διάρκεια διακοπής </w:t>
      </w:r>
      <w:r w:rsidR="009A7790">
        <w:t>t</w:t>
      </w:r>
      <w:r w:rsidR="009A7790" w:rsidRPr="00AE00DB">
        <w:rPr>
          <w:lang w:val="el-GR"/>
        </w:rPr>
        <w:t>&lt;3</w:t>
      </w:r>
      <w:r w:rsidR="009A7790">
        <w:t>min</w:t>
      </w:r>
      <w:r w:rsidR="009A7790" w:rsidRPr="00AE00DB">
        <w:rPr>
          <w:lang w:val="el-GR"/>
        </w:rPr>
        <w:t xml:space="preserve"> </w:t>
      </w:r>
      <w:r w:rsidR="009A7790">
        <w:rPr>
          <w:lang w:val="el-GR"/>
        </w:rPr>
        <w:t xml:space="preserve">και </w:t>
      </w:r>
      <w:r w:rsidR="009A7790">
        <w:t>t</w:t>
      </w:r>
      <w:r w:rsidR="009A7790" w:rsidRPr="00AE00DB">
        <w:rPr>
          <w:lang w:val="el-GR"/>
        </w:rPr>
        <w:t>&gt;=3</w:t>
      </w:r>
      <w:r w:rsidR="009A7790">
        <w:t>min</w:t>
      </w:r>
      <w:r w:rsidR="009A7790">
        <w:rPr>
          <w:lang w:val="el-GR"/>
        </w:rPr>
        <w:t>, θα γίνεται</w:t>
      </w:r>
      <w:r w:rsidR="000E32DA">
        <w:rPr>
          <w:lang w:val="el-GR"/>
        </w:rPr>
        <w:t xml:space="preserve"> επίσης</w:t>
      </w:r>
      <w:r w:rsidR="009A7790">
        <w:rPr>
          <w:lang w:val="el-GR"/>
        </w:rPr>
        <w:t xml:space="preserve"> </w:t>
      </w:r>
      <w:r w:rsidR="00273E53">
        <w:rPr>
          <w:lang w:val="el-GR"/>
        </w:rPr>
        <w:t>διακριτή αναφορά</w:t>
      </w:r>
      <w:r w:rsidR="009A7790">
        <w:rPr>
          <w:lang w:val="el-GR"/>
        </w:rPr>
        <w:t xml:space="preserve"> (</w:t>
      </w:r>
      <w:r w:rsidR="00C95F03">
        <w:rPr>
          <w:lang w:val="el-GR"/>
        </w:rPr>
        <w:t xml:space="preserve">σε </w:t>
      </w:r>
      <w:r w:rsidR="00C95F03">
        <w:t>MWh</w:t>
      </w:r>
      <w:r w:rsidR="009A7790">
        <w:rPr>
          <w:lang w:val="el-GR"/>
        </w:rPr>
        <w:t>)</w:t>
      </w:r>
      <w:r w:rsidR="00C95F03" w:rsidRPr="00C95F03">
        <w:rPr>
          <w:lang w:val="el-GR"/>
        </w:rPr>
        <w:t>:</w:t>
      </w:r>
    </w:p>
    <w:p w14:paraId="3AAD235A" w14:textId="77777777" w:rsidR="009A7790" w:rsidRPr="009F48E8" w:rsidRDefault="009A7790" w:rsidP="00106335">
      <w:pPr>
        <w:pStyle w:val="a3"/>
        <w:numPr>
          <w:ilvl w:val="0"/>
          <w:numId w:val="28"/>
        </w:numPr>
        <w:jc w:val="both"/>
        <w:rPr>
          <w:lang w:val="el-GR"/>
        </w:rPr>
      </w:pPr>
      <w:r w:rsidRPr="009F48E8">
        <w:rPr>
          <w:lang w:val="el-GR"/>
        </w:rPr>
        <w:t>στο μέρος αυτού που αφορά</w:t>
      </w:r>
      <w:r w:rsidR="00273E53">
        <w:rPr>
          <w:lang w:val="el-GR"/>
        </w:rPr>
        <w:t xml:space="preserve"> σε</w:t>
      </w:r>
      <w:r w:rsidRPr="009F48E8">
        <w:rPr>
          <w:lang w:val="el-GR"/>
        </w:rPr>
        <w:t xml:space="preserve"> διακοπές λόγω περικοπής φορτίου </w:t>
      </w:r>
      <w:r w:rsidR="00E341F8" w:rsidRPr="00E341F8">
        <w:rPr>
          <w:lang w:val="el-GR"/>
        </w:rPr>
        <w:t>(</w:t>
      </w:r>
      <w:r w:rsidR="00E341F8">
        <w:t>Load</w:t>
      </w:r>
      <w:r w:rsidR="00E341F8" w:rsidRPr="00E341F8">
        <w:rPr>
          <w:lang w:val="el-GR"/>
        </w:rPr>
        <w:t xml:space="preserve"> </w:t>
      </w:r>
      <w:r w:rsidR="00E341F8">
        <w:t>Shedding</w:t>
      </w:r>
      <w:r w:rsidR="00E341F8" w:rsidRPr="00E341F8">
        <w:rPr>
          <w:lang w:val="el-GR"/>
        </w:rPr>
        <w:t xml:space="preserve">) </w:t>
      </w:r>
      <w:r w:rsidRPr="009F48E8">
        <w:rPr>
          <w:lang w:val="el-GR"/>
        </w:rPr>
        <w:t>εξαιτίας επάρκειας ισχύος του παραγωγικού δυναμικού</w:t>
      </w:r>
      <w:r w:rsidR="005C0D83">
        <w:rPr>
          <w:lang w:val="el-GR"/>
        </w:rPr>
        <w:t xml:space="preserve"> ή </w:t>
      </w:r>
      <w:r w:rsidR="005D34C8">
        <w:rPr>
          <w:lang w:val="el-GR"/>
        </w:rPr>
        <w:t>προστασίας τμήματος του Συστήματος από υπερφορτίσεις</w:t>
      </w:r>
      <w:r w:rsidRPr="009F48E8">
        <w:rPr>
          <w:lang w:val="el-GR"/>
        </w:rPr>
        <w:t>,</w:t>
      </w:r>
    </w:p>
    <w:p w14:paraId="1F320405" w14:textId="77777777" w:rsidR="009A7790" w:rsidRPr="009F48E8" w:rsidRDefault="009A7790" w:rsidP="00106335">
      <w:pPr>
        <w:pStyle w:val="a3"/>
        <w:numPr>
          <w:ilvl w:val="0"/>
          <w:numId w:val="28"/>
        </w:numPr>
        <w:jc w:val="both"/>
        <w:rPr>
          <w:lang w:val="el-GR"/>
        </w:rPr>
      </w:pPr>
      <w:r w:rsidRPr="009F48E8">
        <w:rPr>
          <w:lang w:val="el-GR"/>
        </w:rPr>
        <w:t>στο μέρος</w:t>
      </w:r>
      <w:r w:rsidR="00C95F03" w:rsidRPr="00C95F03">
        <w:rPr>
          <w:lang w:val="el-GR"/>
        </w:rPr>
        <w:t xml:space="preserve"> </w:t>
      </w:r>
      <w:r w:rsidR="00C95F03">
        <w:rPr>
          <w:lang w:val="el-GR"/>
        </w:rPr>
        <w:t>αυτού</w:t>
      </w:r>
      <w:r w:rsidRPr="009F48E8">
        <w:rPr>
          <w:lang w:val="el-GR"/>
        </w:rPr>
        <w:t xml:space="preserve"> που αφορά σε διακοπές για λόγους "ανωτέρας βίας".</w:t>
      </w:r>
    </w:p>
    <w:p w14:paraId="5CD102DD" w14:textId="77777777" w:rsidR="009F48E8" w:rsidRPr="009F48E8" w:rsidRDefault="00106335" w:rsidP="009F48E8">
      <w:pPr>
        <w:jc w:val="both"/>
        <w:rPr>
          <w:lang w:val="el-GR"/>
        </w:rPr>
      </w:pPr>
      <w:r w:rsidRPr="00106335">
        <w:rPr>
          <w:rFonts w:ascii="Arial Black" w:hAnsi="Arial Black"/>
          <w:lang w:val="el-GR"/>
        </w:rPr>
        <w:t>3.1.</w:t>
      </w:r>
      <w:r w:rsidR="009F5F0E" w:rsidRPr="009F5F0E">
        <w:rPr>
          <w:rFonts w:ascii="Arial Black" w:hAnsi="Arial Black"/>
          <w:lang w:val="el-GR"/>
        </w:rPr>
        <w:t>6</w:t>
      </w:r>
      <w:r>
        <w:rPr>
          <w:lang w:val="el-GR"/>
        </w:rPr>
        <w:t xml:space="preserve"> </w:t>
      </w:r>
      <w:r w:rsidR="009F48E8">
        <w:rPr>
          <w:lang w:val="el-GR"/>
        </w:rPr>
        <w:t xml:space="preserve">Αναφέρονται οι ακόλουθες </w:t>
      </w:r>
      <w:r w:rsidR="00C95F03">
        <w:rPr>
          <w:lang w:val="el-GR"/>
        </w:rPr>
        <w:t xml:space="preserve">διευκρινιστικές </w:t>
      </w:r>
      <w:r w:rsidR="009F48E8">
        <w:rPr>
          <w:lang w:val="el-GR"/>
        </w:rPr>
        <w:t xml:space="preserve">οδηγίες αναφορικά με </w:t>
      </w:r>
      <w:r w:rsidR="00C95F03">
        <w:rPr>
          <w:lang w:val="el-GR"/>
        </w:rPr>
        <w:t xml:space="preserve">τις παραμέτρους </w:t>
      </w:r>
      <w:r w:rsidR="00343214">
        <w:rPr>
          <w:lang w:val="el-GR"/>
        </w:rPr>
        <w:t xml:space="preserve">που περιέχονται στον τύπο υπολογισμού </w:t>
      </w:r>
      <w:r w:rsidR="009F48E8">
        <w:rPr>
          <w:lang w:val="el-GR"/>
        </w:rPr>
        <w:t xml:space="preserve">του δείκτη </w:t>
      </w:r>
      <w:r w:rsidR="009F48E8">
        <w:t>ENS</w:t>
      </w:r>
      <w:r w:rsidR="009F48E8" w:rsidRPr="009F48E8">
        <w:rPr>
          <w:lang w:val="el-GR"/>
        </w:rPr>
        <w:t>:</w:t>
      </w:r>
    </w:p>
    <w:p w14:paraId="5967CA53" w14:textId="77777777" w:rsidR="00273E53" w:rsidRDefault="000E32DA" w:rsidP="00C95F03">
      <w:pPr>
        <w:pStyle w:val="a3"/>
        <w:numPr>
          <w:ilvl w:val="0"/>
          <w:numId w:val="4"/>
        </w:numPr>
        <w:jc w:val="both"/>
        <w:rPr>
          <w:lang w:val="el-GR"/>
        </w:rPr>
      </w:pPr>
      <w:r w:rsidRPr="000E32DA">
        <w:rPr>
          <w:lang w:val="el-GR"/>
        </w:rPr>
        <w:t xml:space="preserve">Ως διακοπές απομόνωσης κυκλωμάτων </w:t>
      </w:r>
      <w:r w:rsidR="00273E53">
        <w:rPr>
          <w:lang w:val="el-GR"/>
        </w:rPr>
        <w:t xml:space="preserve">θεωρούνται </w:t>
      </w:r>
      <w:r w:rsidRPr="000E32DA">
        <w:rPr>
          <w:lang w:val="el-GR"/>
        </w:rPr>
        <w:t xml:space="preserve">τα γεγονότα </w:t>
      </w:r>
      <w:r w:rsidR="00273E53">
        <w:rPr>
          <w:lang w:val="el-GR"/>
        </w:rPr>
        <w:t>αυτόματης</w:t>
      </w:r>
      <w:r w:rsidR="004167BA">
        <w:rPr>
          <w:lang w:val="el-GR"/>
        </w:rPr>
        <w:t xml:space="preserve"> ή </w:t>
      </w:r>
      <w:r w:rsidR="00273E53">
        <w:rPr>
          <w:lang w:val="el-GR"/>
        </w:rPr>
        <w:t xml:space="preserve">χειροκίνητης ενεργοποίησης των ειδικών σχημάτων προστασίας (μέσω </w:t>
      </w:r>
      <w:r w:rsidRPr="000E32DA">
        <w:rPr>
          <w:lang w:val="el-GR"/>
        </w:rPr>
        <w:t>ανοίγματος διακόπτων ή αποζευκτών</w:t>
      </w:r>
      <w:r w:rsidR="00273E53">
        <w:rPr>
          <w:lang w:val="el-GR"/>
        </w:rPr>
        <w:t>)</w:t>
      </w:r>
      <w:r w:rsidRPr="000E32DA">
        <w:rPr>
          <w:lang w:val="el-GR"/>
        </w:rPr>
        <w:t xml:space="preserve"> σε κυκλώματα μεταφοράς με αποτέλεσμα τη μη διαθεσιμότητα των συγκεκριμένων κυκλωμάτων. </w:t>
      </w:r>
    </w:p>
    <w:p w14:paraId="7DC9BD85" w14:textId="77777777" w:rsidR="00D373E7" w:rsidRDefault="000E32DA" w:rsidP="00C95F03">
      <w:pPr>
        <w:pStyle w:val="a3"/>
        <w:numPr>
          <w:ilvl w:val="0"/>
          <w:numId w:val="4"/>
        </w:numPr>
        <w:jc w:val="both"/>
        <w:rPr>
          <w:lang w:val="el-GR"/>
        </w:rPr>
      </w:pPr>
      <w:r w:rsidRPr="000E32DA">
        <w:rPr>
          <w:lang w:val="el-GR"/>
        </w:rPr>
        <w:t xml:space="preserve">Ως διακοπές λειτουργίας </w:t>
      </w:r>
      <w:r w:rsidR="00273E53">
        <w:rPr>
          <w:lang w:val="el-GR"/>
        </w:rPr>
        <w:t xml:space="preserve">μετασχηματιστών θεωρούνται </w:t>
      </w:r>
      <w:r w:rsidRPr="000E32DA">
        <w:rPr>
          <w:lang w:val="el-GR"/>
        </w:rPr>
        <w:t>τα γεγονότα μη διαθεσιμότητας των μετασχηματ</w:t>
      </w:r>
      <w:r w:rsidR="00273E53">
        <w:rPr>
          <w:lang w:val="el-GR"/>
        </w:rPr>
        <w:t xml:space="preserve">ιστών όπως αυτά προκύπτουν με το </w:t>
      </w:r>
      <w:r w:rsidRPr="000E32DA">
        <w:rPr>
          <w:lang w:val="el-GR"/>
        </w:rPr>
        <w:t xml:space="preserve">άνοιγμα </w:t>
      </w:r>
      <w:r w:rsidR="004167BA">
        <w:rPr>
          <w:lang w:val="el-GR"/>
        </w:rPr>
        <w:t xml:space="preserve">(αυτόματο ή χειροκίνητο) </w:t>
      </w:r>
      <w:r w:rsidRPr="000E32DA">
        <w:rPr>
          <w:lang w:val="el-GR"/>
        </w:rPr>
        <w:t>των δύο διακοπτών σύνδεσης του μετασχηματιστή με το ηλεκτρικό δίκτυο.</w:t>
      </w:r>
    </w:p>
    <w:p w14:paraId="3F78A2AF" w14:textId="77777777" w:rsidR="00A70BAF" w:rsidRDefault="00D373E7" w:rsidP="00C95F03">
      <w:pPr>
        <w:pStyle w:val="a3"/>
        <w:numPr>
          <w:ilvl w:val="0"/>
          <w:numId w:val="4"/>
        </w:numPr>
        <w:jc w:val="both"/>
        <w:rPr>
          <w:lang w:val="el-GR"/>
        </w:rPr>
      </w:pPr>
      <w:r>
        <w:rPr>
          <w:lang w:val="el-GR"/>
        </w:rPr>
        <w:t xml:space="preserve">Οι </w:t>
      </w:r>
      <w:r w:rsidR="004E59E8">
        <w:rPr>
          <w:lang w:val="el-GR"/>
        </w:rPr>
        <w:t xml:space="preserve">διακοπές τροφοδότησης </w:t>
      </w:r>
      <w:r w:rsidR="00041203">
        <w:rPr>
          <w:lang w:val="el-GR"/>
        </w:rPr>
        <w:t>λόγω</w:t>
      </w:r>
      <w:r w:rsidR="00C95F03" w:rsidRPr="00C95F03">
        <w:rPr>
          <w:lang w:val="el-GR"/>
        </w:rPr>
        <w:t xml:space="preserve"> </w:t>
      </w:r>
      <w:r w:rsidR="00041203">
        <w:rPr>
          <w:lang w:val="el-GR"/>
        </w:rPr>
        <w:t xml:space="preserve">ολικής ή μερικής </w:t>
      </w:r>
      <w:r w:rsidR="004E59E8">
        <w:rPr>
          <w:lang w:val="el-GR"/>
        </w:rPr>
        <w:t>απομόνωσης</w:t>
      </w:r>
      <w:r w:rsidR="00C95F03" w:rsidRPr="00C95F03">
        <w:rPr>
          <w:lang w:val="el-GR"/>
        </w:rPr>
        <w:t xml:space="preserve"> κυκλωμάτων </w:t>
      </w:r>
      <w:r w:rsidR="00041203">
        <w:rPr>
          <w:lang w:val="el-GR"/>
        </w:rPr>
        <w:t>και</w:t>
      </w:r>
      <w:r w:rsidR="00430256">
        <w:rPr>
          <w:lang w:val="el-GR"/>
        </w:rPr>
        <w:t xml:space="preserve"> </w:t>
      </w:r>
      <w:r w:rsidR="000E32DA">
        <w:rPr>
          <w:lang w:val="el-GR"/>
        </w:rPr>
        <w:t xml:space="preserve">διακοπής λειτουργίας </w:t>
      </w:r>
      <w:r w:rsidR="00C95F03" w:rsidRPr="00C95F03">
        <w:rPr>
          <w:lang w:val="el-GR"/>
        </w:rPr>
        <w:t>μετασχηματιστών</w:t>
      </w:r>
      <w:r w:rsidR="00A70BAF">
        <w:rPr>
          <w:lang w:val="el-GR"/>
        </w:rPr>
        <w:t>,</w:t>
      </w:r>
      <w:r w:rsidR="00C95F03" w:rsidRPr="00C95F03">
        <w:rPr>
          <w:lang w:val="el-GR"/>
        </w:rPr>
        <w:t xml:space="preserve"> που προκαλούνται</w:t>
      </w:r>
      <w:r w:rsidR="00A70BAF">
        <w:rPr>
          <w:lang w:val="el-GR"/>
        </w:rPr>
        <w:t xml:space="preserve"> από</w:t>
      </w:r>
      <w:r w:rsidR="00430256">
        <w:rPr>
          <w:lang w:val="el-GR"/>
        </w:rPr>
        <w:t xml:space="preserve"> Ανωμαλία/Σ</w:t>
      </w:r>
      <w:r w:rsidR="00C95F03" w:rsidRPr="00C95F03">
        <w:rPr>
          <w:lang w:val="el-GR"/>
        </w:rPr>
        <w:t xml:space="preserve">φάλμα στο Σύστημα ή στα Όρια του Συστήματος, λογίζονται ως μη προγραμματισμένες διακοπές. </w:t>
      </w:r>
    </w:p>
    <w:p w14:paraId="1205E7B9" w14:textId="77777777" w:rsidR="00C95F03" w:rsidRPr="00C95F03" w:rsidRDefault="00A70BAF" w:rsidP="00C95F03">
      <w:pPr>
        <w:pStyle w:val="a3"/>
        <w:numPr>
          <w:ilvl w:val="0"/>
          <w:numId w:val="4"/>
        </w:numPr>
        <w:jc w:val="both"/>
        <w:rPr>
          <w:lang w:val="el-GR"/>
        </w:rPr>
      </w:pPr>
      <w:r>
        <w:rPr>
          <w:lang w:val="el-GR"/>
        </w:rPr>
        <w:t>Ο</w:t>
      </w:r>
      <w:r w:rsidR="00C95F03" w:rsidRPr="00C95F03">
        <w:rPr>
          <w:lang w:val="el-GR"/>
        </w:rPr>
        <w:t xml:space="preserve">ι περιπτώσεις </w:t>
      </w:r>
      <w:r w:rsidR="00D373E7">
        <w:rPr>
          <w:lang w:val="el-GR"/>
        </w:rPr>
        <w:t>εντολής</w:t>
      </w:r>
      <w:r w:rsidR="00C95F03" w:rsidRPr="00C95F03">
        <w:rPr>
          <w:lang w:val="el-GR"/>
        </w:rPr>
        <w:t xml:space="preserve"> περικοπής φορτίου </w:t>
      </w:r>
      <w:r w:rsidR="00D373E7">
        <w:rPr>
          <w:lang w:val="el-GR"/>
        </w:rPr>
        <w:t xml:space="preserve">(αυτόματης ή μη) </w:t>
      </w:r>
      <w:r w:rsidR="00C95F03" w:rsidRPr="00C95F03">
        <w:rPr>
          <w:lang w:val="el-GR"/>
        </w:rPr>
        <w:t xml:space="preserve">λόγω </w:t>
      </w:r>
      <w:r w:rsidR="004E59E8">
        <w:rPr>
          <w:lang w:val="el-GR"/>
        </w:rPr>
        <w:t>πτώσης</w:t>
      </w:r>
      <w:r w:rsidR="00C95F03" w:rsidRPr="00C95F03">
        <w:rPr>
          <w:lang w:val="el-GR"/>
        </w:rPr>
        <w:t xml:space="preserve"> τάσης στο Σύστημα (</w:t>
      </w:r>
      <w:r w:rsidR="00430256">
        <w:t>U</w:t>
      </w:r>
      <w:r w:rsidR="00C95F03">
        <w:t>ndervoltage</w:t>
      </w:r>
      <w:r w:rsidR="00C95F03" w:rsidRPr="00C95F03">
        <w:rPr>
          <w:lang w:val="el-GR"/>
        </w:rPr>
        <w:t xml:space="preserve"> </w:t>
      </w:r>
      <w:r w:rsidR="00C95F03">
        <w:t>Load</w:t>
      </w:r>
      <w:r w:rsidR="00C95F03" w:rsidRPr="00C95F03">
        <w:rPr>
          <w:lang w:val="el-GR"/>
        </w:rPr>
        <w:t xml:space="preserve"> </w:t>
      </w:r>
      <w:r w:rsidR="00C95F03">
        <w:t>Shedding</w:t>
      </w:r>
      <w:r w:rsidR="00430256">
        <w:rPr>
          <w:lang w:val="el-GR"/>
        </w:rPr>
        <w:t>) θα θεωρούνται Ανωμαλία/Σ</w:t>
      </w:r>
      <w:r w:rsidR="00C95F03" w:rsidRPr="00C95F03">
        <w:rPr>
          <w:lang w:val="el-GR"/>
        </w:rPr>
        <w:t xml:space="preserve">φάλμα και θα εντάσσονται στις μη προγραμματισμένες διακοπές. </w:t>
      </w:r>
    </w:p>
    <w:p w14:paraId="07975703" w14:textId="77777777" w:rsidR="00A70BAF" w:rsidRDefault="00A70BAF" w:rsidP="009F48E8">
      <w:pPr>
        <w:pStyle w:val="a3"/>
        <w:numPr>
          <w:ilvl w:val="0"/>
          <w:numId w:val="4"/>
        </w:numPr>
        <w:jc w:val="both"/>
        <w:rPr>
          <w:lang w:val="el-GR"/>
        </w:rPr>
      </w:pPr>
      <w:r>
        <w:rPr>
          <w:lang w:val="el-GR"/>
        </w:rPr>
        <w:t xml:space="preserve">Τα γεγονότα </w:t>
      </w:r>
      <w:r w:rsidR="003B208B">
        <w:rPr>
          <w:lang w:val="el-GR"/>
        </w:rPr>
        <w:t xml:space="preserve">"ανωτέρας βίας" </w:t>
      </w:r>
      <w:r>
        <w:rPr>
          <w:lang w:val="el-GR"/>
        </w:rPr>
        <w:t xml:space="preserve">οφείλονται σε </w:t>
      </w:r>
      <w:r w:rsidRPr="00A70BAF">
        <w:rPr>
          <w:lang w:val="el-GR"/>
        </w:rPr>
        <w:t>εξωγενείς προς τον ΑΔΜΗΕ παράγοντες που εκφεύγουν της δυνατότητας ελέγχου του</w:t>
      </w:r>
      <w:r>
        <w:rPr>
          <w:lang w:val="el-GR"/>
        </w:rPr>
        <w:t xml:space="preserve"> </w:t>
      </w:r>
      <w:r w:rsidRPr="00A70BAF">
        <w:rPr>
          <w:lang w:val="el-GR"/>
        </w:rPr>
        <w:t>(όπως ενδεικτικά και όχι περιοριστικά, καπνός από πυρκαγιές σε παρακείμενες περιοχές, πλημμύρες, πόλεμοι, σεισμοί, φυσικές καταστροφές, διαδηλώσεις, λεηλασίες, εγκληματικές ενέργειες, επιθέσεις, εκρήξεις, περιπτώσεις διακοπών που διατάσσονται από δημόσιες αρχές για λόγους δημόσιας ασφάλειας κλπ)</w:t>
      </w:r>
      <w:r w:rsidR="000E32DA">
        <w:rPr>
          <w:lang w:val="el-GR"/>
        </w:rPr>
        <w:t>.</w:t>
      </w:r>
    </w:p>
    <w:p w14:paraId="53F1C769" w14:textId="77777777" w:rsidR="000E32DA" w:rsidRPr="000E32DA" w:rsidRDefault="000E32DA" w:rsidP="000E32DA">
      <w:pPr>
        <w:pStyle w:val="a3"/>
        <w:numPr>
          <w:ilvl w:val="0"/>
          <w:numId w:val="4"/>
        </w:numPr>
        <w:jc w:val="both"/>
        <w:rPr>
          <w:lang w:val="el-GR"/>
        </w:rPr>
      </w:pPr>
      <w:r w:rsidRPr="006537DA">
        <w:rPr>
          <w:lang w:val="el-GR"/>
        </w:rPr>
        <w:t>Γ</w:t>
      </w:r>
      <w:r>
        <w:rPr>
          <w:lang w:val="el-GR"/>
        </w:rPr>
        <w:t xml:space="preserve">ια να χαρακτηριστεί μία περίπτωση διακοπής τροφοδότησης </w:t>
      </w:r>
      <w:r w:rsidRPr="006537DA">
        <w:rPr>
          <w:lang w:val="el-GR"/>
        </w:rPr>
        <w:t>ως προγραμματισμένη, θα πρέπει να έχει προηγηθεί ενημέρωση από τον Διαχειριστή τουλάχιστον 24 ώρες πριν.</w:t>
      </w:r>
    </w:p>
    <w:p w14:paraId="7D7BDF42" w14:textId="77777777" w:rsidR="000A69D0" w:rsidRPr="009F48E8" w:rsidRDefault="000A69D0" w:rsidP="009F48E8">
      <w:pPr>
        <w:pStyle w:val="a3"/>
        <w:numPr>
          <w:ilvl w:val="0"/>
          <w:numId w:val="4"/>
        </w:numPr>
        <w:jc w:val="both"/>
        <w:rPr>
          <w:lang w:val="el-GR"/>
        </w:rPr>
      </w:pPr>
      <w:r w:rsidRPr="009F48E8">
        <w:rPr>
          <w:lang w:val="el-GR"/>
        </w:rPr>
        <w:t>Ο χρόνος έναρξης διακοπής τροφοδότησης (ηµέρα και ώρα) είναι ο χρόνος κατά τον οποίο διακόπτεται η τροφοδότηση χρηστών του Συστήµατος Μεταφοράς.</w:t>
      </w:r>
    </w:p>
    <w:p w14:paraId="1430D832" w14:textId="77777777" w:rsidR="009F48E8" w:rsidRPr="000A0735" w:rsidRDefault="000A69D0" w:rsidP="000A0735">
      <w:pPr>
        <w:pStyle w:val="a3"/>
        <w:numPr>
          <w:ilvl w:val="0"/>
          <w:numId w:val="4"/>
        </w:numPr>
        <w:jc w:val="both"/>
        <w:rPr>
          <w:lang w:val="el-GR"/>
        </w:rPr>
      </w:pPr>
      <w:r w:rsidRPr="009F48E8">
        <w:rPr>
          <w:lang w:val="el-GR"/>
        </w:rPr>
        <w:t>Ο χρόνος λήξης διακοπής τροφοδότησης (ηµέρα και ώρα) είναι ο χρόνος κατά τον οποίο η τροφοδότηση του χρήστη αποκαθίσταται µέσω του Συστήµατος Μεταφοράς.</w:t>
      </w:r>
    </w:p>
    <w:p w14:paraId="30E2BB53" w14:textId="77777777" w:rsidR="009F48E8" w:rsidRPr="005F2C02" w:rsidRDefault="009F48E8" w:rsidP="009F48E8">
      <w:pPr>
        <w:pStyle w:val="a3"/>
        <w:numPr>
          <w:ilvl w:val="0"/>
          <w:numId w:val="4"/>
        </w:numPr>
        <w:jc w:val="both"/>
        <w:rPr>
          <w:lang w:val="el-GR"/>
        </w:rPr>
      </w:pPr>
      <w:r w:rsidRPr="009F48E8">
        <w:rPr>
          <w:lang w:val="el-GR"/>
        </w:rPr>
        <w:t>Αναφορικά µε τα βιοµηχανικά φορτία, στον υπολογισµό της µη διατεθείσας ενέργειας δεν συµπεριλαµβάνεται ο απαιτούµενος χρόνος για επαναφορά της εγκατάστασης στο προ διακοπής επίπεδο λειτουργίας (επιπλέον χρόνος µετά την αποκατάσταση της παροχής ισχύος για επανεκκίνηση).</w:t>
      </w:r>
    </w:p>
    <w:p w14:paraId="05392BBC" w14:textId="77777777" w:rsidR="005D34C8" w:rsidRDefault="005D34C8" w:rsidP="005F2C02">
      <w:pPr>
        <w:pStyle w:val="2"/>
        <w:rPr>
          <w:lang w:val="el-GR"/>
        </w:rPr>
      </w:pPr>
    </w:p>
    <w:p w14:paraId="7D4F70D5" w14:textId="77777777" w:rsidR="005D34C8" w:rsidRPr="005D34C8" w:rsidRDefault="005D34C8" w:rsidP="005D34C8">
      <w:pPr>
        <w:rPr>
          <w:lang w:val="el-GR"/>
        </w:rPr>
      </w:pPr>
    </w:p>
    <w:p w14:paraId="6BA89BA7" w14:textId="77777777" w:rsidR="005F2C02" w:rsidRDefault="00DF0EB5" w:rsidP="005F2C02">
      <w:pPr>
        <w:pStyle w:val="2"/>
        <w:rPr>
          <w:lang w:val="el-GR"/>
        </w:rPr>
      </w:pPr>
      <w:bookmarkStart w:id="4" w:name="_Toc100851202"/>
      <w:r>
        <w:rPr>
          <w:lang w:val="el-GR"/>
        </w:rPr>
        <w:lastRenderedPageBreak/>
        <w:t>3.2 Λεπτά</w:t>
      </w:r>
      <w:r w:rsidR="005F2C02">
        <w:rPr>
          <w:lang w:val="el-GR"/>
        </w:rPr>
        <w:t xml:space="preserve"> Συστήματος</w:t>
      </w:r>
      <w:r>
        <w:rPr>
          <w:lang w:val="el-GR"/>
        </w:rPr>
        <w:t xml:space="preserve"> (ΑΙΤ)</w:t>
      </w:r>
      <w:bookmarkEnd w:id="4"/>
    </w:p>
    <w:p w14:paraId="3E6854AC" w14:textId="77777777" w:rsidR="00106335" w:rsidRDefault="00106335" w:rsidP="005F2C02">
      <w:pPr>
        <w:jc w:val="both"/>
        <w:rPr>
          <w:lang w:val="el-GR"/>
        </w:rPr>
      </w:pPr>
      <w:r w:rsidRPr="00106335">
        <w:rPr>
          <w:rFonts w:ascii="Arial Black" w:hAnsi="Arial Black"/>
          <w:lang w:val="el-GR"/>
        </w:rPr>
        <w:t>3.2.1</w:t>
      </w:r>
      <w:r>
        <w:rPr>
          <w:lang w:val="el-GR"/>
        </w:rPr>
        <w:t xml:space="preserve"> </w:t>
      </w:r>
      <w:r w:rsidR="005F2C02">
        <w:t>O</w:t>
      </w:r>
      <w:r w:rsidR="005F2C02" w:rsidRPr="002051AE">
        <w:rPr>
          <w:lang w:val="el-GR"/>
        </w:rPr>
        <w:t xml:space="preserve"> </w:t>
      </w:r>
      <w:r w:rsidR="005F2C02">
        <w:rPr>
          <w:lang w:val="el-GR"/>
        </w:rPr>
        <w:t xml:space="preserve">δείκτης </w:t>
      </w:r>
      <w:r w:rsidR="005F2C02" w:rsidRPr="009F5F0E">
        <w:rPr>
          <w:b/>
          <w:bCs/>
          <w:lang w:val="el-GR"/>
        </w:rPr>
        <w:t>ΑΙΤ</w:t>
      </w:r>
      <w:r w:rsidR="005D34C8" w:rsidRPr="009F5F0E">
        <w:rPr>
          <w:b/>
          <w:bCs/>
          <w:lang w:val="el-GR"/>
        </w:rPr>
        <w:t xml:space="preserve"> (</w:t>
      </w:r>
      <w:r w:rsidR="005D34C8" w:rsidRPr="009F5F0E">
        <w:rPr>
          <w:b/>
          <w:bCs/>
        </w:rPr>
        <w:t>Average</w:t>
      </w:r>
      <w:r w:rsidR="005D34C8" w:rsidRPr="009F5F0E">
        <w:rPr>
          <w:b/>
          <w:bCs/>
          <w:lang w:val="el-GR"/>
        </w:rPr>
        <w:t xml:space="preserve"> </w:t>
      </w:r>
      <w:r w:rsidR="005D34C8" w:rsidRPr="009F5F0E">
        <w:rPr>
          <w:b/>
          <w:bCs/>
        </w:rPr>
        <w:t>Interruption</w:t>
      </w:r>
      <w:r w:rsidR="005D34C8" w:rsidRPr="009F5F0E">
        <w:rPr>
          <w:b/>
          <w:bCs/>
          <w:lang w:val="el-GR"/>
        </w:rPr>
        <w:t xml:space="preserve"> </w:t>
      </w:r>
      <w:r w:rsidR="005D34C8" w:rsidRPr="009F5F0E">
        <w:rPr>
          <w:b/>
          <w:bCs/>
        </w:rPr>
        <w:t>Time</w:t>
      </w:r>
      <w:r w:rsidR="005D34C8" w:rsidRPr="009F5F0E">
        <w:rPr>
          <w:b/>
          <w:bCs/>
          <w:lang w:val="el-GR"/>
        </w:rPr>
        <w:t>)</w:t>
      </w:r>
      <w:r w:rsidR="005F2C02">
        <w:rPr>
          <w:lang w:val="el-GR"/>
        </w:rPr>
        <w:t xml:space="preserve"> αντιπροσωπεύει τη σοβαρότητα των γεγονότων διακοπών τροφοδότησης σε</w:t>
      </w:r>
      <w:r w:rsidR="005F2C02" w:rsidRPr="006A1558">
        <w:rPr>
          <w:lang w:val="el-GR"/>
        </w:rPr>
        <w:t xml:space="preserve"> καταναλωτές, συμπεριλαμβανομένων των μονάδων αντλησιοταμίευσης που β</w:t>
      </w:r>
      <w:r w:rsidR="00430256">
        <w:rPr>
          <w:lang w:val="el-GR"/>
        </w:rPr>
        <w:t>ρίσκονται σε λειτουργία άντλησης και των μονάδων αποθήκευσης ηλεκτρικής ενέργειας,</w:t>
      </w:r>
      <w:r w:rsidR="005F2C02">
        <w:rPr>
          <w:lang w:val="el-GR"/>
        </w:rPr>
        <w:t xml:space="preserve"> </w:t>
      </w:r>
      <w:r w:rsidR="00E341F8">
        <w:rPr>
          <w:lang w:val="el-GR"/>
        </w:rPr>
        <w:t>εν</w:t>
      </w:r>
      <w:r w:rsidR="005F2C02">
        <w:rPr>
          <w:lang w:val="el-GR"/>
        </w:rPr>
        <w:t xml:space="preserve"> </w:t>
      </w:r>
      <w:r w:rsidR="00E341F8">
        <w:rPr>
          <w:lang w:val="el-GR"/>
        </w:rPr>
        <w:t>συναρτήσει</w:t>
      </w:r>
      <w:r w:rsidR="005F2C02">
        <w:rPr>
          <w:lang w:val="el-GR"/>
        </w:rPr>
        <w:t xml:space="preserve"> με το μέγεθος του Συστήματος. </w:t>
      </w:r>
    </w:p>
    <w:p w14:paraId="43851FD4" w14:textId="77777777" w:rsidR="005F2C02" w:rsidRPr="009F5F0E" w:rsidRDefault="00106335" w:rsidP="009F5F0E">
      <w:pPr>
        <w:jc w:val="both"/>
        <w:rPr>
          <w:lang w:val="el-GR"/>
        </w:rPr>
      </w:pPr>
      <w:r w:rsidRPr="00106335">
        <w:rPr>
          <w:rFonts w:ascii="Arial Black" w:hAnsi="Arial Black"/>
          <w:lang w:val="el-GR"/>
        </w:rPr>
        <w:t>3.2.2</w:t>
      </w:r>
      <w:r>
        <w:rPr>
          <w:lang w:val="el-GR"/>
        </w:rPr>
        <w:t xml:space="preserve"> </w:t>
      </w:r>
      <w:r w:rsidR="004C1D70">
        <w:rPr>
          <w:lang w:val="el-GR"/>
        </w:rPr>
        <w:t>Βάσει</w:t>
      </w:r>
      <w:r w:rsidR="005F2C02">
        <w:rPr>
          <w:lang w:val="el-GR"/>
        </w:rPr>
        <w:t xml:space="preserve"> τη</w:t>
      </w:r>
      <w:r w:rsidR="004C1D70">
        <w:rPr>
          <w:lang w:val="el-GR"/>
        </w:rPr>
        <w:t>ς διεθνούς</w:t>
      </w:r>
      <w:r w:rsidR="005F2C02">
        <w:rPr>
          <w:lang w:val="el-GR"/>
        </w:rPr>
        <w:t xml:space="preserve"> πρακτική</w:t>
      </w:r>
      <w:r w:rsidR="004C1D70">
        <w:rPr>
          <w:lang w:val="el-GR"/>
        </w:rPr>
        <w:t>ς</w:t>
      </w:r>
      <w:r w:rsidR="005F2C02">
        <w:rPr>
          <w:lang w:val="el-GR"/>
        </w:rPr>
        <w:t xml:space="preserve"> </w:t>
      </w:r>
      <w:r w:rsidR="004C1D70">
        <w:rPr>
          <w:lang w:val="el-GR"/>
        </w:rPr>
        <w:t>χρησιμοποιούνται</w:t>
      </w:r>
      <w:r w:rsidR="005F2C02">
        <w:rPr>
          <w:lang w:val="el-GR"/>
        </w:rPr>
        <w:t xml:space="preserve"> </w:t>
      </w:r>
      <w:r w:rsidR="00BE01F4">
        <w:rPr>
          <w:lang w:val="el-GR"/>
        </w:rPr>
        <w:t>δύο</w:t>
      </w:r>
      <w:r w:rsidR="005F2C02">
        <w:rPr>
          <w:lang w:val="el-GR"/>
        </w:rPr>
        <w:t xml:space="preserve"> εναλλακτικοί τύποι για τον </w:t>
      </w:r>
      <w:r w:rsidR="004C1D70">
        <w:rPr>
          <w:lang w:val="el-GR"/>
        </w:rPr>
        <w:t xml:space="preserve">δείκτη </w:t>
      </w:r>
      <w:r w:rsidR="005F2C02">
        <w:t>AIT</w:t>
      </w:r>
      <w:r w:rsidR="004C1D70">
        <w:rPr>
          <w:lang w:val="el-GR"/>
        </w:rPr>
        <w:t>, τους οποίους ο Διαχειριστής του Συστήματος θα υπολογίζει</w:t>
      </w:r>
      <w:r w:rsidR="009F5F0E" w:rsidRPr="009F5F0E">
        <w:rPr>
          <w:lang w:val="el-GR"/>
        </w:rPr>
        <w:t>:</w:t>
      </w:r>
    </w:p>
    <w:p w14:paraId="6522DD95" w14:textId="77777777" w:rsidR="005F2C02" w:rsidRPr="00787267" w:rsidRDefault="005F2C02" w:rsidP="005F2C02">
      <w:pPr>
        <w:pStyle w:val="a3"/>
        <w:numPr>
          <w:ilvl w:val="0"/>
          <w:numId w:val="5"/>
        </w:numPr>
        <w:jc w:val="both"/>
        <w:rPr>
          <w:lang w:val="el-GR"/>
        </w:rPr>
      </w:pPr>
      <w:r w:rsidRPr="00787267">
        <w:rPr>
          <w:lang w:val="el-GR"/>
        </w:rPr>
        <w:t xml:space="preserve">Ο </w:t>
      </w:r>
      <w:r>
        <w:t>AIT</w:t>
      </w:r>
      <w:r w:rsidRPr="00787267">
        <w:rPr>
          <w:lang w:val="el-GR"/>
        </w:rPr>
        <w:t xml:space="preserve"> εκφράζεται σε λεπτά και ορίζεται ως ο</w:t>
      </w:r>
      <w:r w:rsidR="009F5F0E">
        <w:rPr>
          <w:lang w:val="el-GR"/>
        </w:rPr>
        <w:t xml:space="preserve"> δείκτης </w:t>
      </w:r>
      <w:r>
        <w:t>ENS</w:t>
      </w:r>
      <w:r w:rsidRPr="00787267">
        <w:rPr>
          <w:lang w:val="el-GR"/>
        </w:rPr>
        <w:t xml:space="preserve"> πολλαπλασιασμένος επί το Σύνολο των λεπτών μίας ώρας (60</w:t>
      </w:r>
      <w:r>
        <w:t>min</w:t>
      </w:r>
      <w:r w:rsidRPr="00787267">
        <w:rPr>
          <w:lang w:val="el-GR"/>
        </w:rPr>
        <w:t xml:space="preserve">) και διαιρεμένος με το Φορτίο αιχμής του έτους αναφοράς σε </w:t>
      </w:r>
      <w:r>
        <w:t>MW</w:t>
      </w:r>
      <w:r w:rsidRPr="00787267">
        <w:rPr>
          <w:lang w:val="el-GR"/>
        </w:rPr>
        <w:t>.</w:t>
      </w:r>
    </w:p>
    <w:p w14:paraId="059B879B" w14:textId="77777777" w:rsidR="005F2C02" w:rsidRPr="00727245" w:rsidRDefault="005F2C02" w:rsidP="005F2C02">
      <w:pPr>
        <w:rPr>
          <w:rFonts w:ascii="Cambria Math" w:eastAsiaTheme="minorEastAsia" w:hAnsi="Cambria Math"/>
          <w:b/>
          <w:i/>
        </w:rPr>
      </w:pPr>
      <w:r>
        <w:rPr>
          <w:b/>
          <w:bCs/>
          <w:lang w:val="el-GR"/>
        </w:rPr>
        <w:t xml:space="preserve"> </w:t>
      </w:r>
      <w:r w:rsidRPr="002A020F">
        <w:rPr>
          <w:rFonts w:ascii="Cambria Math" w:hAnsi="Cambria Math"/>
          <w:b/>
          <w:i/>
          <w:lang w:val="el-GR"/>
        </w:rPr>
        <w:br/>
      </w:r>
      <m:oMathPara>
        <m:oMath>
          <m:r>
            <m:rPr>
              <m:sty m:val="bi"/>
            </m:rPr>
            <w:rPr>
              <w:rFonts w:ascii="Cambria Math" w:hAnsi="Cambria Math"/>
            </w:rPr>
            <m:t>AIT</m:t>
          </m:r>
          <m:r>
            <m:rPr>
              <m:sty m:val="bi"/>
            </m:rPr>
            <w:rPr>
              <w:rFonts w:ascii="Cambria Math" w:hAnsi="Cambria Math"/>
              <w:lang w:val="el-GR"/>
            </w:rPr>
            <m:t xml:space="preserve">= </m:t>
          </m:r>
          <m:f>
            <m:fPr>
              <m:ctrlPr>
                <w:rPr>
                  <w:rFonts w:ascii="Cambria Math" w:hAnsi="Cambria Math"/>
                  <w:b/>
                  <w:i/>
                </w:rPr>
              </m:ctrlPr>
            </m:fPr>
            <m:num>
              <m:r>
                <m:rPr>
                  <m:sty m:val="bi"/>
                </m:rPr>
                <w:rPr>
                  <w:rFonts w:ascii="Cambria Math" w:hAnsi="Cambria Math"/>
                  <w:lang w:val="el-GR"/>
                </w:rPr>
                <m:t>60*</m:t>
              </m:r>
              <m:r>
                <m:rPr>
                  <m:sty m:val="bi"/>
                </m:rPr>
                <w:rPr>
                  <w:rFonts w:ascii="Cambria Math" w:hAnsi="Cambria Math"/>
                </w:rPr>
                <m:t>ENS</m:t>
              </m:r>
            </m:num>
            <m:den>
              <m:r>
                <m:rPr>
                  <m:sty m:val="bi"/>
                </m:rPr>
                <w:rPr>
                  <w:rFonts w:ascii="Cambria Math" w:hAnsi="Cambria Math"/>
                </w:rPr>
                <m:t>Annual</m:t>
              </m:r>
              <m:r>
                <m:rPr>
                  <m:sty m:val="bi"/>
                </m:rPr>
                <w:rPr>
                  <w:rFonts w:ascii="Cambria Math" w:hAnsi="Cambria Math"/>
                  <w:lang w:val="el-GR"/>
                </w:rPr>
                <m:t xml:space="preserve"> </m:t>
              </m:r>
              <m:r>
                <m:rPr>
                  <m:sty m:val="bi"/>
                </m:rPr>
                <w:rPr>
                  <w:rFonts w:ascii="Cambria Math" w:hAnsi="Cambria Math"/>
                </w:rPr>
                <m:t>System Peak</m:t>
              </m:r>
              <m:r>
                <m:rPr>
                  <m:sty m:val="bi"/>
                </m:rPr>
                <w:rPr>
                  <w:rFonts w:ascii="Cambria Math" w:hAnsi="Cambria Math"/>
                  <w:lang w:val="el-GR"/>
                </w:rPr>
                <m:t xml:space="preserve"> </m:t>
              </m:r>
              <m:r>
                <m:rPr>
                  <m:sty m:val="bi"/>
                </m:rPr>
                <w:rPr>
                  <w:rFonts w:ascii="Cambria Math" w:hAnsi="Cambria Math"/>
                </w:rPr>
                <m:t>Load</m:t>
              </m:r>
            </m:den>
          </m:f>
        </m:oMath>
      </m:oMathPara>
    </w:p>
    <w:p w14:paraId="3AADFD0E" w14:textId="77777777" w:rsidR="005F2C02" w:rsidRPr="00727245" w:rsidRDefault="005F2C02" w:rsidP="005F2C02">
      <w:pPr>
        <w:rPr>
          <w:rFonts w:ascii="Cambria Math" w:eastAsiaTheme="minorEastAsia" w:hAnsi="Cambria Math"/>
          <w:b/>
          <w:i/>
        </w:rPr>
      </w:pPr>
    </w:p>
    <w:p w14:paraId="3FD1E152" w14:textId="77777777" w:rsidR="005F2C02" w:rsidRPr="00787267" w:rsidRDefault="005F2C02" w:rsidP="005F2C02">
      <w:pPr>
        <w:pStyle w:val="a3"/>
        <w:numPr>
          <w:ilvl w:val="0"/>
          <w:numId w:val="5"/>
        </w:numPr>
        <w:jc w:val="both"/>
        <w:rPr>
          <w:lang w:val="el-GR"/>
        </w:rPr>
      </w:pPr>
      <w:r w:rsidRPr="00787267">
        <w:rPr>
          <w:lang w:val="el-GR"/>
        </w:rPr>
        <w:t xml:space="preserve">Ο </w:t>
      </w:r>
      <w:r>
        <w:t>AIT</w:t>
      </w:r>
      <w:r w:rsidRPr="00787267">
        <w:rPr>
          <w:lang w:val="el-GR"/>
        </w:rPr>
        <w:t xml:space="preserve"> εκφράζεται σε λεπτά και ορίζεται ως ο </w:t>
      </w:r>
      <w:r>
        <w:t>ENS</w:t>
      </w:r>
      <w:r>
        <w:rPr>
          <w:lang w:val="el-GR"/>
        </w:rPr>
        <w:t xml:space="preserve"> </w:t>
      </w:r>
      <w:r w:rsidRPr="00787267">
        <w:rPr>
          <w:lang w:val="el-GR"/>
        </w:rPr>
        <w:t>πολλαπλασιασμένος επί το Σύνολο των λεπτών μίας ώρας (60</w:t>
      </w:r>
      <w:r>
        <w:t>min</w:t>
      </w:r>
      <w:r w:rsidRPr="00787267">
        <w:rPr>
          <w:lang w:val="el-GR"/>
        </w:rPr>
        <w:t xml:space="preserve">) και διαιρεμένος με το μέσο Φορτίο Συστήματος του έτους αναφοράς σε </w:t>
      </w:r>
      <w:r>
        <w:t>MW</w:t>
      </w:r>
      <w:r w:rsidRPr="00787267">
        <w:rPr>
          <w:lang w:val="el-GR"/>
        </w:rPr>
        <w:t>.</w:t>
      </w:r>
    </w:p>
    <w:p w14:paraId="71BDDB75" w14:textId="77777777" w:rsidR="002315E9" w:rsidRDefault="005F2C02" w:rsidP="002D536C">
      <w:pPr>
        <w:rPr>
          <w:rFonts w:eastAsiaTheme="minorEastAsia"/>
          <w:b/>
          <w:lang w:val="el-GR"/>
        </w:rPr>
      </w:pPr>
      <m:oMathPara>
        <m:oMath>
          <m:r>
            <m:rPr>
              <m:sty m:val="bi"/>
            </m:rPr>
            <w:rPr>
              <w:rFonts w:ascii="Cambria Math" w:hAnsi="Cambria Math"/>
            </w:rPr>
            <m:t>AIT</m:t>
          </m:r>
          <m:r>
            <m:rPr>
              <m:sty m:val="bi"/>
            </m:rPr>
            <w:rPr>
              <w:rFonts w:ascii="Cambria Math" w:hAnsi="Cambria Math"/>
              <w:lang w:val="el-GR"/>
            </w:rPr>
            <m:t xml:space="preserve">= </m:t>
          </m:r>
          <m:f>
            <m:fPr>
              <m:ctrlPr>
                <w:rPr>
                  <w:rFonts w:ascii="Cambria Math" w:hAnsi="Cambria Math"/>
                  <w:b/>
                  <w:i/>
                </w:rPr>
              </m:ctrlPr>
            </m:fPr>
            <m:num>
              <m:r>
                <m:rPr>
                  <m:sty m:val="bi"/>
                </m:rPr>
                <w:rPr>
                  <w:rFonts w:ascii="Cambria Math" w:hAnsi="Cambria Math"/>
                  <w:lang w:val="el-GR"/>
                </w:rPr>
                <m:t>60*</m:t>
              </m:r>
              <m:r>
                <m:rPr>
                  <m:sty m:val="bi"/>
                </m:rPr>
                <w:rPr>
                  <w:rFonts w:ascii="Cambria Math" w:hAnsi="Cambria Math"/>
                </w:rPr>
                <m:t>ENS</m:t>
              </m:r>
            </m:num>
            <m:den>
              <m:r>
                <m:rPr>
                  <m:sty m:val="bi"/>
                </m:rPr>
                <w:rPr>
                  <w:rFonts w:ascii="Cambria Math" w:hAnsi="Cambria Math"/>
                </w:rPr>
                <m:t>Average</m:t>
              </m:r>
              <m:r>
                <m:rPr>
                  <m:sty m:val="bi"/>
                </m:rPr>
                <w:rPr>
                  <w:rFonts w:ascii="Cambria Math" w:hAnsi="Cambria Math"/>
                  <w:lang w:val="el-GR"/>
                </w:rPr>
                <m:t xml:space="preserve"> </m:t>
              </m:r>
              <m:r>
                <m:rPr>
                  <m:sty m:val="bi"/>
                </m:rPr>
                <w:rPr>
                  <w:rFonts w:ascii="Cambria Math" w:hAnsi="Cambria Math"/>
                </w:rPr>
                <m:t>Annual</m:t>
              </m:r>
              <m:r>
                <m:rPr>
                  <m:sty m:val="bi"/>
                </m:rPr>
                <w:rPr>
                  <w:rFonts w:ascii="Cambria Math" w:hAnsi="Cambria Math"/>
                  <w:lang w:val="el-GR"/>
                </w:rPr>
                <m:t xml:space="preserve"> </m:t>
              </m:r>
              <m:r>
                <m:rPr>
                  <m:sty m:val="bi"/>
                </m:rPr>
                <w:rPr>
                  <w:rFonts w:ascii="Cambria Math" w:hAnsi="Cambria Math"/>
                </w:rPr>
                <m:t>System</m:t>
              </m:r>
              <m:r>
                <m:rPr>
                  <m:sty m:val="bi"/>
                </m:rPr>
                <w:rPr>
                  <w:rFonts w:ascii="Cambria Math" w:hAnsi="Cambria Math"/>
                  <w:lang w:val="el-GR"/>
                </w:rPr>
                <m:t xml:space="preserve"> </m:t>
              </m:r>
              <m:r>
                <m:rPr>
                  <m:sty m:val="bi"/>
                </m:rPr>
                <w:rPr>
                  <w:rFonts w:ascii="Cambria Math" w:hAnsi="Cambria Math"/>
                </w:rPr>
                <m:t>Load</m:t>
              </m:r>
            </m:den>
          </m:f>
        </m:oMath>
      </m:oMathPara>
    </w:p>
    <w:p w14:paraId="1B98FB16" w14:textId="77777777" w:rsidR="0095570B" w:rsidRDefault="0095570B" w:rsidP="00CB3B28">
      <w:pPr>
        <w:pStyle w:val="2"/>
        <w:rPr>
          <w:rFonts w:asciiTheme="minorHAnsi" w:hAnsiTheme="minorHAnsi" w:cstheme="minorHAnsi"/>
          <w:color w:val="auto"/>
          <w:sz w:val="22"/>
          <w:szCs w:val="22"/>
        </w:rPr>
      </w:pPr>
    </w:p>
    <w:p w14:paraId="56E53DE7" w14:textId="77777777" w:rsidR="00106335" w:rsidRPr="009F5F0E" w:rsidRDefault="0095570B" w:rsidP="009F5F0E">
      <w:pPr>
        <w:rPr>
          <w:lang w:val="el-GR"/>
        </w:rPr>
      </w:pPr>
      <w:r w:rsidRPr="0095570B">
        <w:rPr>
          <w:rFonts w:ascii="Arial Black" w:hAnsi="Arial Black"/>
          <w:lang w:val="el-GR"/>
        </w:rPr>
        <w:t>3.2.3</w:t>
      </w:r>
      <w:r w:rsidRPr="0095570B">
        <w:rPr>
          <w:lang w:val="el-GR"/>
        </w:rPr>
        <w:t xml:space="preserve"> </w:t>
      </w:r>
      <w:r>
        <w:t>O</w:t>
      </w:r>
      <w:r w:rsidR="00106335" w:rsidRPr="00106335">
        <w:rPr>
          <w:lang w:val="el-GR"/>
        </w:rPr>
        <w:t xml:space="preserve">ι κανόνες υπολογισμού του δείκτη </w:t>
      </w:r>
      <w:r w:rsidR="00106335" w:rsidRPr="00106335">
        <w:t>ENS</w:t>
      </w:r>
      <w:r w:rsidR="00106335" w:rsidRPr="00106335">
        <w:rPr>
          <w:lang w:val="el-GR"/>
        </w:rPr>
        <w:t xml:space="preserve"> που περιέχ</w:t>
      </w:r>
      <w:r w:rsidR="009F5F0E">
        <w:rPr>
          <w:lang w:val="el-GR"/>
        </w:rPr>
        <w:t xml:space="preserve">ονται στην ενότητα 3.1 ισχύουν και κατά τον υπολογισμό του δείκτη </w:t>
      </w:r>
      <w:r w:rsidR="009F5F0E">
        <w:t>AIT</w:t>
      </w:r>
      <w:r w:rsidR="009F5F0E" w:rsidRPr="009F5F0E">
        <w:rPr>
          <w:lang w:val="el-GR"/>
        </w:rPr>
        <w:t>.</w:t>
      </w:r>
    </w:p>
    <w:p w14:paraId="3384A8A0" w14:textId="77777777" w:rsidR="004C1D70" w:rsidRDefault="004C1D70" w:rsidP="00827D9A">
      <w:pPr>
        <w:jc w:val="both"/>
        <w:rPr>
          <w:rFonts w:ascii="Arial Black" w:hAnsi="Arial Black"/>
          <w:lang w:val="el-GR"/>
        </w:rPr>
      </w:pPr>
      <w:r>
        <w:rPr>
          <w:rFonts w:ascii="Arial Black" w:hAnsi="Arial Black"/>
          <w:lang w:val="el-GR"/>
        </w:rPr>
        <w:t xml:space="preserve">3.2.4 </w:t>
      </w:r>
      <w:r w:rsidRPr="004C1D70">
        <w:rPr>
          <w:rFonts w:cstheme="minorHAnsi"/>
          <w:lang w:val="el-GR"/>
        </w:rPr>
        <w:t>Ο Διαχειριστής του Συστήματος θα υπολογίζει</w:t>
      </w:r>
      <w:r>
        <w:rPr>
          <w:rFonts w:cstheme="minorHAnsi"/>
          <w:lang w:val="el-GR"/>
        </w:rPr>
        <w:t xml:space="preserve"> και θα παρουσιάζει</w:t>
      </w:r>
      <w:r w:rsidRPr="004C1D70">
        <w:rPr>
          <w:rFonts w:cstheme="minorHAnsi"/>
          <w:lang w:val="el-GR"/>
        </w:rPr>
        <w:t xml:space="preserve"> τις τιμές του δείκτη ΑΙΤ </w:t>
      </w:r>
      <w:r>
        <w:rPr>
          <w:rFonts w:cstheme="minorHAnsi"/>
          <w:lang w:val="el-GR"/>
        </w:rPr>
        <w:t xml:space="preserve">για το έτος αναφοράς και σε αντιδιαστολή με τα προηγούμενα δύο έτη, </w:t>
      </w:r>
      <w:r w:rsidRPr="004C1D70">
        <w:rPr>
          <w:rFonts w:cstheme="minorHAnsi"/>
          <w:lang w:val="el-GR"/>
        </w:rPr>
        <w:t>διακριτά για όλες τις περιπτώσεις που αναφέρονται</w:t>
      </w:r>
      <w:r>
        <w:rPr>
          <w:rFonts w:cstheme="minorHAnsi"/>
          <w:lang w:val="el-GR"/>
        </w:rPr>
        <w:t xml:space="preserve"> </w:t>
      </w:r>
      <w:r w:rsidRPr="004C1D70">
        <w:rPr>
          <w:rFonts w:cstheme="minorHAnsi"/>
          <w:lang w:val="el-GR"/>
        </w:rPr>
        <w:t>στην Υποενότητα 3.1</w:t>
      </w:r>
      <w:r>
        <w:rPr>
          <w:rFonts w:cstheme="minorHAnsi"/>
          <w:lang w:val="el-GR"/>
        </w:rPr>
        <w:t>,</w:t>
      </w:r>
      <w:r w:rsidRPr="004C1D70">
        <w:rPr>
          <w:rFonts w:cstheme="minorHAnsi"/>
          <w:lang w:val="el-GR"/>
        </w:rPr>
        <w:t xml:space="preserve"> για τ</w:t>
      </w:r>
      <w:r>
        <w:rPr>
          <w:rFonts w:cstheme="minorHAnsi"/>
          <w:lang w:val="el-GR"/>
        </w:rPr>
        <w:t>ον υπολογισμό του</w:t>
      </w:r>
      <w:r w:rsidRPr="004C1D70">
        <w:rPr>
          <w:rFonts w:cstheme="minorHAnsi"/>
          <w:lang w:val="el-GR"/>
        </w:rPr>
        <w:t xml:space="preserve"> δείκτη ΕΝ</w:t>
      </w:r>
      <w:r w:rsidRPr="004C1D70">
        <w:rPr>
          <w:rFonts w:cstheme="minorHAnsi"/>
        </w:rPr>
        <w:t>S</w:t>
      </w:r>
      <w:r>
        <w:rPr>
          <w:rFonts w:cstheme="minorHAnsi"/>
          <w:lang w:val="el-GR"/>
        </w:rPr>
        <w:t>.</w:t>
      </w:r>
      <w:r w:rsidRPr="004C1D70">
        <w:rPr>
          <w:rFonts w:cstheme="minorHAnsi"/>
          <w:lang w:val="el-GR"/>
        </w:rPr>
        <w:t xml:space="preserve"> </w:t>
      </w:r>
    </w:p>
    <w:p w14:paraId="0345D693" w14:textId="77777777" w:rsidR="00827D9A" w:rsidRPr="00827D9A" w:rsidRDefault="00106335" w:rsidP="00827D9A">
      <w:pPr>
        <w:jc w:val="both"/>
        <w:rPr>
          <w:lang w:val="el-GR"/>
        </w:rPr>
      </w:pPr>
      <w:r w:rsidRPr="00106335">
        <w:rPr>
          <w:rFonts w:ascii="Arial Black" w:hAnsi="Arial Black"/>
          <w:lang w:val="el-GR"/>
        </w:rPr>
        <w:t>3.</w:t>
      </w:r>
      <w:r w:rsidR="00343214">
        <w:rPr>
          <w:rFonts w:ascii="Arial Black" w:hAnsi="Arial Black"/>
          <w:lang w:val="el-GR"/>
        </w:rPr>
        <w:t>2.</w:t>
      </w:r>
      <w:r w:rsidR="004C1D70">
        <w:rPr>
          <w:rFonts w:ascii="Arial Black" w:hAnsi="Arial Black"/>
          <w:lang w:val="el-GR"/>
        </w:rPr>
        <w:t>5</w:t>
      </w:r>
      <w:r>
        <w:rPr>
          <w:lang w:val="el-GR"/>
        </w:rPr>
        <w:t xml:space="preserve"> </w:t>
      </w:r>
      <w:r w:rsidR="00827D9A">
        <w:rPr>
          <w:lang w:val="el-GR"/>
        </w:rPr>
        <w:t xml:space="preserve">Ο Διαχειριστής του Συστήματος θα περιέχει στην ετήσια έκθεση του </w:t>
      </w:r>
      <w:r w:rsidR="00827D9A" w:rsidRPr="00827D9A">
        <w:rPr>
          <w:b/>
          <w:lang w:val="el-GR"/>
        </w:rPr>
        <w:t>σε μορφή πίνακα</w:t>
      </w:r>
      <w:r w:rsidR="00827D9A">
        <w:rPr>
          <w:lang w:val="el-GR"/>
        </w:rPr>
        <w:t>,</w:t>
      </w:r>
      <w:r w:rsidR="00827D9A" w:rsidRPr="00827D9A">
        <w:rPr>
          <w:lang w:val="el-GR"/>
        </w:rPr>
        <w:t xml:space="preserve"> </w:t>
      </w:r>
      <w:r w:rsidR="00827D9A">
        <w:rPr>
          <w:lang w:val="el-GR"/>
        </w:rPr>
        <w:t>για τα γεγονότα διακοπής τροφοδότησης διάρκειας μεγαλύτερης/ίσης των τριών λεπτών (</w:t>
      </w:r>
      <w:r w:rsidR="00827D9A">
        <w:t>t</w:t>
      </w:r>
      <w:r w:rsidR="00827D9A" w:rsidRPr="00827D9A">
        <w:rPr>
          <w:lang w:val="el-GR"/>
        </w:rPr>
        <w:t>&gt;=3</w:t>
      </w:r>
      <w:r w:rsidR="00827D9A">
        <w:t>min</w:t>
      </w:r>
      <w:r w:rsidR="00827D9A">
        <w:rPr>
          <w:lang w:val="el-GR"/>
        </w:rPr>
        <w:t>),</w:t>
      </w:r>
      <w:r w:rsidR="00AD6621">
        <w:rPr>
          <w:lang w:val="el-GR"/>
        </w:rPr>
        <w:t xml:space="preserve"> που οφείλονταν σε διακοπές απομόνωσης κυκλωμάτων ή λειτουργίας μετασχηματιστών στο Σύστημα και στα Όρια του Συστήματος,</w:t>
      </w:r>
      <w:r w:rsidR="00827D9A">
        <w:rPr>
          <w:lang w:val="el-GR"/>
        </w:rPr>
        <w:t xml:space="preserve"> τα εξής στοιχεία</w:t>
      </w:r>
      <w:r w:rsidR="00827D9A" w:rsidRPr="00827D9A">
        <w:rPr>
          <w:lang w:val="el-GR"/>
        </w:rPr>
        <w:t xml:space="preserve">: </w:t>
      </w:r>
    </w:p>
    <w:p w14:paraId="29456DB7" w14:textId="77777777" w:rsidR="00827D9A" w:rsidRPr="00827D9A" w:rsidRDefault="00827D9A" w:rsidP="00827D9A">
      <w:pPr>
        <w:pStyle w:val="a3"/>
        <w:numPr>
          <w:ilvl w:val="0"/>
          <w:numId w:val="24"/>
        </w:numPr>
        <w:jc w:val="both"/>
        <w:rPr>
          <w:lang w:val="el-GR"/>
        </w:rPr>
      </w:pPr>
      <w:r w:rsidRPr="00827D9A">
        <w:rPr>
          <w:lang w:val="el-GR"/>
        </w:rPr>
        <w:t>Έναρξη διακοπής τροφοδότησης</w:t>
      </w:r>
    </w:p>
    <w:p w14:paraId="678ED4AE" w14:textId="77777777" w:rsidR="00827D9A" w:rsidRPr="00827D9A" w:rsidRDefault="00827D9A" w:rsidP="00827D9A">
      <w:pPr>
        <w:pStyle w:val="a3"/>
        <w:numPr>
          <w:ilvl w:val="0"/>
          <w:numId w:val="24"/>
        </w:numPr>
        <w:jc w:val="both"/>
        <w:rPr>
          <w:lang w:val="el-GR"/>
        </w:rPr>
      </w:pPr>
      <w:r w:rsidRPr="00827D9A">
        <w:rPr>
          <w:lang w:val="el-GR"/>
        </w:rPr>
        <w:t>Διάρκεια</w:t>
      </w:r>
    </w:p>
    <w:p w14:paraId="6D8207D3" w14:textId="77777777" w:rsidR="00827D9A" w:rsidRPr="00827D9A" w:rsidRDefault="00AD6621" w:rsidP="00827D9A">
      <w:pPr>
        <w:pStyle w:val="a3"/>
        <w:numPr>
          <w:ilvl w:val="0"/>
          <w:numId w:val="24"/>
        </w:numPr>
        <w:jc w:val="both"/>
        <w:rPr>
          <w:lang w:val="el-GR"/>
        </w:rPr>
      </w:pPr>
      <w:r>
        <w:rPr>
          <w:lang w:val="el-GR"/>
        </w:rPr>
        <w:t>Πάγιο του Συστήματος ή στα Όρια του Συστήματος</w:t>
      </w:r>
    </w:p>
    <w:p w14:paraId="30732A15" w14:textId="77777777" w:rsidR="00827D9A" w:rsidRPr="00827D9A" w:rsidRDefault="00827D9A" w:rsidP="00827D9A">
      <w:pPr>
        <w:pStyle w:val="a3"/>
        <w:numPr>
          <w:ilvl w:val="0"/>
          <w:numId w:val="24"/>
        </w:numPr>
        <w:jc w:val="both"/>
        <w:rPr>
          <w:lang w:val="el-GR"/>
        </w:rPr>
      </w:pPr>
      <w:r w:rsidRPr="00827D9A">
        <w:rPr>
          <w:lang w:val="el-GR"/>
        </w:rPr>
        <w:t>Αιτία</w:t>
      </w:r>
    </w:p>
    <w:p w14:paraId="4D2227FE" w14:textId="77777777" w:rsidR="00827D9A" w:rsidRPr="00827D9A" w:rsidRDefault="00827D9A" w:rsidP="00827D9A">
      <w:pPr>
        <w:pStyle w:val="a3"/>
        <w:numPr>
          <w:ilvl w:val="0"/>
          <w:numId w:val="24"/>
        </w:numPr>
        <w:jc w:val="both"/>
        <w:rPr>
          <w:lang w:val="el-GR"/>
        </w:rPr>
      </w:pPr>
      <w:r w:rsidRPr="00827D9A">
        <w:rPr>
          <w:lang w:val="el-GR"/>
        </w:rPr>
        <w:t>Υπολογισμένη Μη εξυπηρετούμενη ενέργεια (</w:t>
      </w:r>
      <w:r>
        <w:t>ENS</w:t>
      </w:r>
      <w:r w:rsidRPr="00827D9A">
        <w:rPr>
          <w:lang w:val="el-GR"/>
        </w:rPr>
        <w:t>)</w:t>
      </w:r>
    </w:p>
    <w:p w14:paraId="3265163D" w14:textId="77777777" w:rsidR="00827D9A" w:rsidRPr="00827D9A" w:rsidRDefault="00827D9A" w:rsidP="00827D9A">
      <w:pPr>
        <w:pStyle w:val="a3"/>
        <w:numPr>
          <w:ilvl w:val="0"/>
          <w:numId w:val="24"/>
        </w:numPr>
        <w:jc w:val="both"/>
        <w:rPr>
          <w:lang w:val="el-GR"/>
        </w:rPr>
      </w:pPr>
      <w:r w:rsidRPr="00827D9A">
        <w:rPr>
          <w:lang w:val="el-GR"/>
        </w:rPr>
        <w:t>Υπολογισμένα Λεπτά Συστήματος (ΑΙΤ)</w:t>
      </w:r>
    </w:p>
    <w:p w14:paraId="6B12E944" w14:textId="77777777" w:rsidR="00343214" w:rsidRDefault="00343214" w:rsidP="00343214">
      <w:pPr>
        <w:rPr>
          <w:lang w:val="el-GR"/>
        </w:rPr>
      </w:pPr>
    </w:p>
    <w:p w14:paraId="4F8BBE01" w14:textId="77777777" w:rsidR="00D16D21" w:rsidRPr="00343214" w:rsidRDefault="00D16D21" w:rsidP="00343214">
      <w:pPr>
        <w:rPr>
          <w:lang w:val="el-GR"/>
        </w:rPr>
      </w:pPr>
    </w:p>
    <w:p w14:paraId="3F050035" w14:textId="77777777" w:rsidR="00343214" w:rsidRPr="00343214" w:rsidRDefault="00343214" w:rsidP="0088305E">
      <w:pPr>
        <w:pStyle w:val="1"/>
        <w:numPr>
          <w:ilvl w:val="0"/>
          <w:numId w:val="45"/>
        </w:numPr>
        <w:rPr>
          <w:b/>
          <w:color w:val="auto"/>
          <w:lang w:val="el-GR"/>
        </w:rPr>
      </w:pPr>
      <w:r>
        <w:rPr>
          <w:b/>
          <w:color w:val="auto"/>
          <w:lang w:val="el-GR"/>
        </w:rPr>
        <w:lastRenderedPageBreak/>
        <w:t xml:space="preserve"> </w:t>
      </w:r>
      <w:bookmarkStart w:id="5" w:name="_Toc100851203"/>
      <w:r w:rsidRPr="00343214">
        <w:rPr>
          <w:b/>
          <w:color w:val="auto"/>
          <w:lang w:val="el-GR"/>
        </w:rPr>
        <w:t xml:space="preserve">Ποιότητα </w:t>
      </w:r>
      <w:r w:rsidR="00DF0EB5">
        <w:rPr>
          <w:b/>
          <w:color w:val="auto"/>
          <w:lang w:val="el-GR"/>
        </w:rPr>
        <w:t>τροφοδ</w:t>
      </w:r>
      <w:r w:rsidR="00833CF5">
        <w:rPr>
          <w:b/>
          <w:color w:val="auto"/>
          <w:lang w:val="el-GR"/>
        </w:rPr>
        <w:t>ότησης</w:t>
      </w:r>
      <w:bookmarkEnd w:id="5"/>
    </w:p>
    <w:p w14:paraId="3DE5D4E9" w14:textId="77777777" w:rsidR="00343214" w:rsidRDefault="00343214" w:rsidP="00343214">
      <w:pPr>
        <w:pStyle w:val="2"/>
        <w:rPr>
          <w:lang w:val="el-GR"/>
        </w:rPr>
      </w:pPr>
    </w:p>
    <w:p w14:paraId="3525B873" w14:textId="77777777" w:rsidR="00CB3B28" w:rsidRPr="00343214" w:rsidRDefault="00DF0EB5" w:rsidP="00343214">
      <w:pPr>
        <w:pStyle w:val="2"/>
        <w:rPr>
          <w:lang w:val="el-GR"/>
        </w:rPr>
      </w:pPr>
      <w:bookmarkStart w:id="6" w:name="_Toc100851204"/>
      <w:r>
        <w:rPr>
          <w:lang w:val="el-GR"/>
        </w:rPr>
        <w:t>4.1 Ρύθμιση</w:t>
      </w:r>
      <w:r w:rsidR="00CB3B28" w:rsidRPr="00343214">
        <w:rPr>
          <w:lang w:val="el-GR"/>
        </w:rPr>
        <w:t xml:space="preserve"> Συχνότητας (</w:t>
      </w:r>
      <w:r w:rsidR="00CB3B28" w:rsidRPr="00343214">
        <w:t>FRCE</w:t>
      </w:r>
      <w:r w:rsidR="00CB3B28" w:rsidRPr="00343214">
        <w:rPr>
          <w:lang w:val="el-GR"/>
        </w:rPr>
        <w:t>)</w:t>
      </w:r>
      <w:bookmarkEnd w:id="6"/>
    </w:p>
    <w:p w14:paraId="0321EA66" w14:textId="77777777" w:rsidR="00B6314E" w:rsidRPr="00B6314E" w:rsidRDefault="00B6314E" w:rsidP="00B6314E">
      <w:pPr>
        <w:jc w:val="both"/>
        <w:rPr>
          <w:lang w:val="el-GR"/>
        </w:rPr>
      </w:pPr>
      <w:r w:rsidRPr="00B6314E">
        <w:rPr>
          <w:lang w:val="el-GR"/>
        </w:rPr>
        <w:t>Ο έλεγχος λειτουργίας</w:t>
      </w:r>
      <w:r w:rsidR="000F0CA1" w:rsidRPr="000F0CA1">
        <w:rPr>
          <w:lang w:val="el-GR"/>
        </w:rPr>
        <w:t xml:space="preserve"> </w:t>
      </w:r>
      <w:r w:rsidRPr="00B6314E">
        <w:rPr>
          <w:lang w:val="el-GR"/>
        </w:rPr>
        <w:t>του ΕΣΜΗΕ αναφο</w:t>
      </w:r>
      <w:r w:rsidR="008E62B0">
        <w:rPr>
          <w:lang w:val="el-GR"/>
        </w:rPr>
        <w:t>ρικά με τη ρύθμιση συχνότητας</w:t>
      </w:r>
      <w:r w:rsidRPr="00B6314E">
        <w:rPr>
          <w:lang w:val="el-GR"/>
        </w:rPr>
        <w:t xml:space="preserve"> βασίζεται </w:t>
      </w:r>
      <w:r w:rsidR="00C9044F">
        <w:rPr>
          <w:lang w:val="el-GR"/>
        </w:rPr>
        <w:t>στα</w:t>
      </w:r>
      <w:r w:rsidR="00395DA7">
        <w:rPr>
          <w:lang w:val="el-GR"/>
        </w:rPr>
        <w:t xml:space="preserve"> </w:t>
      </w:r>
      <w:r w:rsidRPr="00B6314E">
        <w:rPr>
          <w:lang w:val="el-GR"/>
        </w:rPr>
        <w:t>δεδομένα</w:t>
      </w:r>
      <w:r w:rsidR="00C9044F" w:rsidRPr="00C9044F">
        <w:rPr>
          <w:lang w:val="el-GR"/>
        </w:rPr>
        <w:t xml:space="preserve"> </w:t>
      </w:r>
      <w:r w:rsidR="00C9044F">
        <w:rPr>
          <w:lang w:val="el-GR"/>
        </w:rPr>
        <w:t xml:space="preserve">αξιολόγησης ποιότητας Συχνότητας </w:t>
      </w:r>
      <w:r w:rsidR="001F05ED" w:rsidRPr="00A7310E">
        <w:rPr>
          <w:lang w:val="el-GR"/>
        </w:rPr>
        <w:t xml:space="preserve">για κάθε </w:t>
      </w:r>
      <w:r w:rsidR="001F05ED" w:rsidRPr="00A7310E">
        <w:t>LFC</w:t>
      </w:r>
      <w:r w:rsidR="001F05ED" w:rsidRPr="00A7310E">
        <w:rPr>
          <w:lang w:val="el-GR"/>
        </w:rPr>
        <w:t xml:space="preserve"> </w:t>
      </w:r>
      <w:r w:rsidR="001F05ED" w:rsidRPr="00A7310E">
        <w:t>Block</w:t>
      </w:r>
      <w:r w:rsidR="001F05ED" w:rsidRPr="00A7310E">
        <w:rPr>
          <w:lang w:val="el-GR"/>
        </w:rPr>
        <w:t xml:space="preserve"> </w:t>
      </w:r>
      <w:r w:rsidR="00A7310E">
        <w:rPr>
          <w:rStyle w:val="a5"/>
          <w:lang w:val="el-GR"/>
        </w:rPr>
        <w:footnoteReference w:id="1"/>
      </w:r>
      <w:r w:rsidR="001F05ED" w:rsidRPr="00A7310E">
        <w:rPr>
          <w:lang w:val="el-GR"/>
        </w:rPr>
        <w:t>της Ηπειρωτικής Ευρώπης</w:t>
      </w:r>
      <w:r w:rsidR="001F05ED">
        <w:rPr>
          <w:lang w:val="el-GR"/>
        </w:rPr>
        <w:t xml:space="preserve"> </w:t>
      </w:r>
      <w:r w:rsidR="00C9044F" w:rsidRPr="00C9044F">
        <w:rPr>
          <w:lang w:val="el-GR"/>
        </w:rPr>
        <w:sym w:font="Wingdings" w:char="F0E0"/>
      </w:r>
      <w:r w:rsidRPr="00B6314E">
        <w:rPr>
          <w:lang w:val="el-GR"/>
        </w:rPr>
        <w:t xml:space="preserve"> </w:t>
      </w:r>
      <w:r w:rsidRPr="00C9044F">
        <w:rPr>
          <w:b/>
          <w:lang w:val="el-GR"/>
        </w:rPr>
        <w:t>FRCE</w:t>
      </w:r>
      <w:r w:rsidR="00A30D11" w:rsidRPr="00A30D11">
        <w:rPr>
          <w:b/>
          <w:lang w:val="el-GR"/>
        </w:rPr>
        <w:t xml:space="preserve"> (</w:t>
      </w:r>
      <w:r w:rsidR="00A30D11">
        <w:rPr>
          <w:b/>
        </w:rPr>
        <w:t>Frequency</w:t>
      </w:r>
      <w:r w:rsidR="00A30D11" w:rsidRPr="00A30D11">
        <w:rPr>
          <w:b/>
          <w:lang w:val="el-GR"/>
        </w:rPr>
        <w:t xml:space="preserve"> </w:t>
      </w:r>
      <w:r w:rsidR="00A30D11">
        <w:rPr>
          <w:b/>
        </w:rPr>
        <w:t>Restoration</w:t>
      </w:r>
      <w:r w:rsidR="00A30D11" w:rsidRPr="00A30D11">
        <w:rPr>
          <w:b/>
          <w:lang w:val="el-GR"/>
        </w:rPr>
        <w:t xml:space="preserve"> </w:t>
      </w:r>
      <w:r w:rsidR="00A30D11">
        <w:rPr>
          <w:b/>
        </w:rPr>
        <w:t>Control</w:t>
      </w:r>
      <w:r w:rsidR="00A30D11" w:rsidRPr="00A30D11">
        <w:rPr>
          <w:b/>
          <w:lang w:val="el-GR"/>
        </w:rPr>
        <w:t xml:space="preserve"> </w:t>
      </w:r>
      <w:r w:rsidR="00A30D11">
        <w:rPr>
          <w:b/>
        </w:rPr>
        <w:t>Error</w:t>
      </w:r>
      <w:r w:rsidR="00A30D11" w:rsidRPr="00A30D11">
        <w:rPr>
          <w:b/>
          <w:lang w:val="el-GR"/>
        </w:rPr>
        <w:t>)</w:t>
      </w:r>
      <w:r w:rsidR="00C9044F">
        <w:rPr>
          <w:lang w:val="el-GR"/>
        </w:rPr>
        <w:t>,</w:t>
      </w:r>
      <w:r w:rsidRPr="00B6314E">
        <w:rPr>
          <w:lang w:val="el-GR"/>
        </w:rPr>
        <w:t xml:space="preserve"> </w:t>
      </w:r>
      <w:r w:rsidR="00D5122D">
        <w:rPr>
          <w:lang w:val="el-GR"/>
        </w:rPr>
        <w:t>τα οποία</w:t>
      </w:r>
      <w:r w:rsidRPr="00B6314E">
        <w:rPr>
          <w:lang w:val="el-GR"/>
        </w:rPr>
        <w:t xml:space="preserve"> </w:t>
      </w:r>
      <w:r w:rsidR="00A85258">
        <w:rPr>
          <w:lang w:val="el-GR"/>
        </w:rPr>
        <w:t>επιβλέπει</w:t>
      </w:r>
      <w:r w:rsidRPr="00B6314E">
        <w:rPr>
          <w:lang w:val="el-GR"/>
        </w:rPr>
        <w:t xml:space="preserve"> ο </w:t>
      </w:r>
      <w:r w:rsidR="00A72261" w:rsidRPr="00B6314E">
        <w:rPr>
          <w:lang w:val="el-GR"/>
        </w:rPr>
        <w:t>διαχειριστής</w:t>
      </w:r>
      <w:r>
        <w:rPr>
          <w:lang w:val="el-GR"/>
        </w:rPr>
        <w:t xml:space="preserve"> του Συστήματος</w:t>
      </w:r>
      <w:r w:rsidR="00C9044F">
        <w:rPr>
          <w:rStyle w:val="a5"/>
          <w:lang w:val="el-GR"/>
        </w:rPr>
        <w:footnoteReference w:id="2"/>
      </w:r>
      <w:r w:rsidRPr="00B6314E">
        <w:rPr>
          <w:lang w:val="el-GR"/>
        </w:rPr>
        <w:t xml:space="preserve">, και στα κριτήρια αξιολόγησης ποιότητας </w:t>
      </w:r>
      <w:r>
        <w:rPr>
          <w:lang w:val="el-GR"/>
        </w:rPr>
        <w:t>συχνότητας</w:t>
      </w:r>
      <w:r w:rsidR="00907F28">
        <w:rPr>
          <w:rStyle w:val="a5"/>
          <w:lang w:val="el-GR"/>
        </w:rPr>
        <w:footnoteReference w:id="3"/>
      </w:r>
      <w:r w:rsidR="001F05ED">
        <w:rPr>
          <w:lang w:val="el-GR"/>
        </w:rPr>
        <w:t xml:space="preserve"> που υπολογίζονται βάσει αυτών</w:t>
      </w:r>
      <w:r>
        <w:rPr>
          <w:lang w:val="el-GR"/>
        </w:rPr>
        <w:t xml:space="preserve">, όπως αυτά ορίζονται στον </w:t>
      </w:r>
      <w:r w:rsidRPr="00B6314E">
        <w:rPr>
          <w:b/>
          <w:lang w:val="el-GR"/>
        </w:rPr>
        <w:t xml:space="preserve">Κανονισμό </w:t>
      </w:r>
      <w:r w:rsidRPr="00B6314E">
        <w:rPr>
          <w:b/>
        </w:rPr>
        <w:t>SOGL</w:t>
      </w:r>
      <w:r w:rsidRPr="00B6314E">
        <w:rPr>
          <w:lang w:val="el-GR"/>
        </w:rPr>
        <w:t xml:space="preserve">. </w:t>
      </w:r>
    </w:p>
    <w:p w14:paraId="4729FDA2" w14:textId="77777777" w:rsidR="00485613" w:rsidRPr="001229B7" w:rsidRDefault="008E62B0" w:rsidP="00B6314E">
      <w:pPr>
        <w:jc w:val="both"/>
        <w:rPr>
          <w:lang w:val="el-GR"/>
        </w:rPr>
      </w:pPr>
      <w:r>
        <w:rPr>
          <w:lang w:val="el-GR"/>
        </w:rPr>
        <w:t>Στην περίπτωση του Ελληνικού Συστή</w:t>
      </w:r>
      <w:r w:rsidR="00AF6214">
        <w:rPr>
          <w:lang w:val="el-GR"/>
        </w:rPr>
        <w:t>μα</w:t>
      </w:r>
      <w:r>
        <w:rPr>
          <w:lang w:val="el-GR"/>
        </w:rPr>
        <w:t>τος</w:t>
      </w:r>
      <w:r w:rsidR="00AF6214">
        <w:rPr>
          <w:lang w:val="el-GR"/>
        </w:rPr>
        <w:t xml:space="preserve"> </w:t>
      </w:r>
      <w:r w:rsidR="00FD1035">
        <w:rPr>
          <w:lang w:val="el-GR"/>
        </w:rPr>
        <w:t>Μεταφοράς</w:t>
      </w:r>
      <w:r w:rsidR="00AF6214">
        <w:rPr>
          <w:lang w:val="el-GR"/>
        </w:rPr>
        <w:t xml:space="preserve"> Ηλεκτρικής Ενέργειας</w:t>
      </w:r>
      <w:r>
        <w:rPr>
          <w:lang w:val="el-GR"/>
        </w:rPr>
        <w:t xml:space="preserve"> του ΕΣΜΗΕ, που</w:t>
      </w:r>
      <w:r w:rsidR="00AF6214">
        <w:rPr>
          <w:lang w:val="el-GR"/>
        </w:rPr>
        <w:t xml:space="preserve"> είναι συγχρονισμένο </w:t>
      </w:r>
      <w:r>
        <w:rPr>
          <w:lang w:val="el-GR"/>
        </w:rPr>
        <w:t xml:space="preserve">με το </w:t>
      </w:r>
      <w:r w:rsidR="00FD1035" w:rsidRPr="00FD1035">
        <w:rPr>
          <w:lang w:val="el-GR"/>
        </w:rPr>
        <w:t>Σύστημα της Ηπειρωτικής Ευρώπης (</w:t>
      </w:r>
      <w:r w:rsidR="00FD1035">
        <w:t>Continental</w:t>
      </w:r>
      <w:r w:rsidR="00FD1035" w:rsidRPr="00FD1035">
        <w:rPr>
          <w:lang w:val="el-GR"/>
        </w:rPr>
        <w:t xml:space="preserve"> </w:t>
      </w:r>
      <w:r w:rsidR="00FD1035">
        <w:t>Europe</w:t>
      </w:r>
      <w:r w:rsidR="00FD1035" w:rsidRPr="00FD1035">
        <w:rPr>
          <w:lang w:val="el-GR"/>
        </w:rPr>
        <w:t xml:space="preserve"> – </w:t>
      </w:r>
      <w:r w:rsidR="00FD1035">
        <w:t>CE</w:t>
      </w:r>
      <w:r w:rsidR="00FD1035" w:rsidRPr="00FD1035">
        <w:rPr>
          <w:lang w:val="el-GR"/>
        </w:rPr>
        <w:t>)</w:t>
      </w:r>
      <w:r w:rsidR="00AF6214">
        <w:rPr>
          <w:lang w:val="el-GR"/>
        </w:rPr>
        <w:t xml:space="preserve">, </w:t>
      </w:r>
      <w:r w:rsidR="00FD1035">
        <w:t>LFC</w:t>
      </w:r>
      <w:r w:rsidR="00FD1035" w:rsidRPr="00FD1035">
        <w:rPr>
          <w:lang w:val="el-GR"/>
        </w:rPr>
        <w:t xml:space="preserve"> </w:t>
      </w:r>
      <w:r w:rsidR="00FD1035">
        <w:t>Block</w:t>
      </w:r>
      <w:r w:rsidR="000B1D3F" w:rsidRPr="000B1D3F">
        <w:rPr>
          <w:lang w:val="el-GR"/>
        </w:rPr>
        <w:t xml:space="preserve"> </w:t>
      </w:r>
      <w:r w:rsidR="000B1D3F">
        <w:rPr>
          <w:lang w:val="el-GR"/>
        </w:rPr>
        <w:t>και</w:t>
      </w:r>
      <w:r w:rsidR="00FD1035">
        <w:rPr>
          <w:lang w:val="el-GR"/>
        </w:rPr>
        <w:t xml:space="preserve"> </w:t>
      </w:r>
      <w:r w:rsidR="00FD1035">
        <w:t>LFC</w:t>
      </w:r>
      <w:r w:rsidR="00FD1035" w:rsidRPr="00FD1035">
        <w:rPr>
          <w:lang w:val="el-GR"/>
        </w:rPr>
        <w:t xml:space="preserve"> </w:t>
      </w:r>
      <w:r w:rsidR="00FD1035">
        <w:t>Area</w:t>
      </w:r>
      <w:r w:rsidR="00793F7E">
        <w:rPr>
          <w:rStyle w:val="a5"/>
          <w:lang w:val="el-GR"/>
        </w:rPr>
        <w:footnoteReference w:id="4"/>
      </w:r>
      <w:r w:rsidR="000B1D3F">
        <w:rPr>
          <w:lang w:val="el-GR"/>
        </w:rPr>
        <w:t xml:space="preserve"> ταυτίζονται και αντιστοιχούν στο ΕΣΜΗΕ</w:t>
      </w:r>
      <w:r w:rsidRPr="008E62B0">
        <w:rPr>
          <w:lang w:val="el-GR"/>
        </w:rPr>
        <w:t xml:space="preserve"> (</w:t>
      </w:r>
      <w:r>
        <w:t>LFC</w:t>
      </w:r>
      <w:r w:rsidR="00485613" w:rsidRPr="00485613">
        <w:rPr>
          <w:lang w:val="el-GR"/>
        </w:rPr>
        <w:t xml:space="preserve">: </w:t>
      </w:r>
      <w:r>
        <w:t>Load</w:t>
      </w:r>
      <w:r w:rsidRPr="008E62B0">
        <w:rPr>
          <w:lang w:val="el-GR"/>
        </w:rPr>
        <w:t xml:space="preserve"> </w:t>
      </w:r>
      <w:r>
        <w:t>Frequency</w:t>
      </w:r>
      <w:r w:rsidRPr="008E62B0">
        <w:rPr>
          <w:lang w:val="el-GR"/>
        </w:rPr>
        <w:t xml:space="preserve"> </w:t>
      </w:r>
      <w:r>
        <w:t>Control</w:t>
      </w:r>
      <w:r w:rsidRPr="008E62B0">
        <w:rPr>
          <w:lang w:val="el-GR"/>
        </w:rPr>
        <w:t>)</w:t>
      </w:r>
      <w:r w:rsidR="00FD1035" w:rsidRPr="00FD1035">
        <w:rPr>
          <w:lang w:val="el-GR"/>
        </w:rPr>
        <w:t>.</w:t>
      </w:r>
      <w:r w:rsidRPr="008E62B0">
        <w:rPr>
          <w:lang w:val="el-GR"/>
        </w:rPr>
        <w:t xml:space="preserve"> </w:t>
      </w:r>
    </w:p>
    <w:p w14:paraId="30F3FAA2" w14:textId="77777777" w:rsidR="00B6314E" w:rsidRPr="001F05ED" w:rsidRDefault="00B6314E" w:rsidP="00B6314E">
      <w:pPr>
        <w:jc w:val="both"/>
        <w:rPr>
          <w:b/>
          <w:lang w:val="el-GR"/>
        </w:rPr>
      </w:pPr>
      <w:r w:rsidRPr="00B6314E">
        <w:rPr>
          <w:lang w:val="el-GR"/>
        </w:rPr>
        <w:t>Επειδή η συγχρονισμένη περιοχή της Η</w:t>
      </w:r>
      <w:r>
        <w:rPr>
          <w:lang w:val="el-GR"/>
        </w:rPr>
        <w:t xml:space="preserve">πειρωτικής </w:t>
      </w:r>
      <w:r w:rsidRPr="00B6314E">
        <w:rPr>
          <w:lang w:val="el-GR"/>
        </w:rPr>
        <w:t>Ε</w:t>
      </w:r>
      <w:r w:rsidR="00485613">
        <w:rPr>
          <w:lang w:val="el-GR"/>
        </w:rPr>
        <w:t>υρώπης</w:t>
      </w:r>
      <w:r w:rsidRPr="00B6314E">
        <w:rPr>
          <w:lang w:val="el-GR"/>
        </w:rPr>
        <w:t xml:space="preserve"> αποτελείτα</w:t>
      </w:r>
      <w:r w:rsidR="00395DA7">
        <w:rPr>
          <w:lang w:val="el-GR"/>
        </w:rPr>
        <w:t xml:space="preserve">ι από διαφορετικές </w:t>
      </w:r>
      <w:r w:rsidR="00485613">
        <w:t>LFC</w:t>
      </w:r>
      <w:r w:rsidR="00485613" w:rsidRPr="00485613">
        <w:rPr>
          <w:lang w:val="el-GR"/>
        </w:rPr>
        <w:t xml:space="preserve"> </w:t>
      </w:r>
      <w:r w:rsidR="00485613">
        <w:t>Areas</w:t>
      </w:r>
      <w:r w:rsidR="00395DA7">
        <w:rPr>
          <w:lang w:val="el-GR"/>
        </w:rPr>
        <w:t xml:space="preserve">, </w:t>
      </w:r>
      <w:r w:rsidR="00907F28">
        <w:rPr>
          <w:lang w:val="el-GR"/>
        </w:rPr>
        <w:t xml:space="preserve">οι οποίες </w:t>
      </w:r>
      <w:r w:rsidR="007A4C7B">
        <w:rPr>
          <w:lang w:val="el-GR"/>
        </w:rPr>
        <w:t xml:space="preserve">επομένως και </w:t>
      </w:r>
      <w:r w:rsidR="001229B7" w:rsidRPr="00A85859">
        <w:rPr>
          <w:u w:val="single"/>
          <w:lang w:val="el-GR"/>
        </w:rPr>
        <w:t>ε</w:t>
      </w:r>
      <w:r w:rsidR="001229B7">
        <w:rPr>
          <w:u w:val="single"/>
          <w:lang w:val="el-GR"/>
        </w:rPr>
        <w:t>φόσον</w:t>
      </w:r>
      <w:r w:rsidR="001229B7" w:rsidRPr="00A85859">
        <w:rPr>
          <w:u w:val="single"/>
          <w:lang w:val="el-GR"/>
        </w:rPr>
        <w:t xml:space="preserve"> δεν υπάρχει νησιδοποίηση</w:t>
      </w:r>
      <w:r w:rsidR="007A4C7B">
        <w:rPr>
          <w:u w:val="single"/>
          <w:lang w:val="el-GR"/>
        </w:rPr>
        <w:t xml:space="preserve"> </w:t>
      </w:r>
      <w:r w:rsidR="007A4C7B" w:rsidRPr="007A4C7B">
        <w:rPr>
          <w:u w:val="single"/>
          <w:lang w:val="el-GR"/>
        </w:rPr>
        <w:t>(</w:t>
      </w:r>
      <w:r w:rsidR="007A4C7B">
        <w:rPr>
          <w:u w:val="single"/>
        </w:rPr>
        <w:t>split</w:t>
      </w:r>
      <w:r w:rsidR="007A4C7B" w:rsidRPr="007A4C7B">
        <w:rPr>
          <w:u w:val="single"/>
          <w:lang w:val="el-GR"/>
        </w:rPr>
        <w:t>)</w:t>
      </w:r>
      <w:r w:rsidR="001229B7">
        <w:rPr>
          <w:lang w:val="el-GR"/>
        </w:rPr>
        <w:t xml:space="preserve"> </w:t>
      </w:r>
      <w:r w:rsidR="00907F28">
        <w:rPr>
          <w:lang w:val="el-GR"/>
        </w:rPr>
        <w:t>έχουν την ίδια τιμή Συχνότητας</w:t>
      </w:r>
      <w:r w:rsidR="00FD1035" w:rsidRPr="00FD1035">
        <w:rPr>
          <w:lang w:val="el-GR"/>
        </w:rPr>
        <w:t xml:space="preserve"> </w:t>
      </w:r>
      <w:r w:rsidR="00C9519A" w:rsidRPr="001F05ED">
        <w:rPr>
          <w:lang w:val="el-GR"/>
        </w:rPr>
        <w:t>(</w:t>
      </w:r>
      <w:r w:rsidR="00FD1035" w:rsidRPr="001F05ED">
        <w:rPr>
          <w:bCs/>
        </w:rPr>
        <w:t>Hz</w:t>
      </w:r>
      <w:r w:rsidR="00C9519A" w:rsidRPr="001F05ED">
        <w:rPr>
          <w:bCs/>
          <w:lang w:val="el-GR"/>
        </w:rPr>
        <w:t>)</w:t>
      </w:r>
      <w:r w:rsidR="00907F28" w:rsidRPr="001F05ED">
        <w:rPr>
          <w:lang w:val="el-GR"/>
        </w:rPr>
        <w:t>,</w:t>
      </w:r>
      <w:r w:rsidR="00907F28">
        <w:rPr>
          <w:lang w:val="el-GR"/>
        </w:rPr>
        <w:t xml:space="preserve"> </w:t>
      </w:r>
      <w:r w:rsidR="00395DA7" w:rsidRPr="001F05ED">
        <w:rPr>
          <w:b/>
          <w:lang w:val="el-GR"/>
        </w:rPr>
        <w:t>η παράμετρος</w:t>
      </w:r>
      <w:r w:rsidRPr="001F05ED">
        <w:rPr>
          <w:b/>
          <w:lang w:val="el-GR"/>
        </w:rPr>
        <w:t xml:space="preserve"> FRCE μετριέται σε </w:t>
      </w:r>
      <w:r w:rsidRPr="001F05ED">
        <w:rPr>
          <w:b/>
          <w:bCs/>
          <w:lang w:val="el-GR"/>
        </w:rPr>
        <w:t>MW</w:t>
      </w:r>
      <w:r w:rsidRPr="001F05ED">
        <w:rPr>
          <w:b/>
          <w:lang w:val="el-GR"/>
        </w:rPr>
        <w:t xml:space="preserve"> και ισούται με το </w:t>
      </w:r>
      <w:r w:rsidRPr="00F15E6A">
        <w:rPr>
          <w:b/>
          <w:bCs/>
          <w:u w:val="single"/>
        </w:rPr>
        <w:t>Area</w:t>
      </w:r>
      <w:r w:rsidRPr="00F15E6A">
        <w:rPr>
          <w:b/>
          <w:bCs/>
          <w:u w:val="single"/>
          <w:lang w:val="el-GR"/>
        </w:rPr>
        <w:t xml:space="preserve"> </w:t>
      </w:r>
      <w:r w:rsidRPr="00F15E6A">
        <w:rPr>
          <w:b/>
          <w:bCs/>
          <w:u w:val="single"/>
        </w:rPr>
        <w:t>Control</w:t>
      </w:r>
      <w:r w:rsidRPr="00F15E6A">
        <w:rPr>
          <w:b/>
          <w:bCs/>
          <w:u w:val="single"/>
          <w:lang w:val="el-GR"/>
        </w:rPr>
        <w:t xml:space="preserve"> </w:t>
      </w:r>
      <w:r w:rsidRPr="00F15E6A">
        <w:rPr>
          <w:b/>
          <w:bCs/>
          <w:u w:val="single"/>
        </w:rPr>
        <w:t>Error</w:t>
      </w:r>
      <w:r w:rsidRPr="00F15E6A">
        <w:rPr>
          <w:b/>
          <w:bCs/>
          <w:u w:val="single"/>
          <w:lang w:val="el-GR"/>
        </w:rPr>
        <w:t>-ACE</w:t>
      </w:r>
      <w:r w:rsidRPr="00F15E6A">
        <w:rPr>
          <w:b/>
          <w:u w:val="single"/>
          <w:lang w:val="el-GR"/>
        </w:rPr>
        <w:t xml:space="preserve"> </w:t>
      </w:r>
      <w:r w:rsidR="00313FFC" w:rsidRPr="001F05ED">
        <w:rPr>
          <w:b/>
          <w:lang w:val="el-GR"/>
        </w:rPr>
        <w:t xml:space="preserve">για </w:t>
      </w:r>
      <w:r w:rsidRPr="001F05ED">
        <w:rPr>
          <w:b/>
          <w:lang w:val="el-GR"/>
        </w:rPr>
        <w:t xml:space="preserve">κάθε </w:t>
      </w:r>
      <w:r w:rsidR="00485613" w:rsidRPr="001F05ED">
        <w:rPr>
          <w:b/>
        </w:rPr>
        <w:t>LFC</w:t>
      </w:r>
      <w:r w:rsidR="00485613" w:rsidRPr="001F05ED">
        <w:rPr>
          <w:b/>
          <w:lang w:val="el-GR"/>
        </w:rPr>
        <w:t xml:space="preserve"> </w:t>
      </w:r>
      <w:r w:rsidR="00485613" w:rsidRPr="001F05ED">
        <w:rPr>
          <w:b/>
        </w:rPr>
        <w:t>Area</w:t>
      </w:r>
      <w:r w:rsidR="00313FFC" w:rsidRPr="001F05ED">
        <w:rPr>
          <w:b/>
          <w:lang w:val="el-GR"/>
        </w:rPr>
        <w:t>.</w:t>
      </w:r>
      <w:r w:rsidRPr="001F05ED">
        <w:rPr>
          <w:b/>
          <w:lang w:val="el-GR"/>
        </w:rPr>
        <w:t xml:space="preserve"> </w:t>
      </w:r>
    </w:p>
    <w:p w14:paraId="1AE2EDF9" w14:textId="77777777" w:rsidR="00B6314E" w:rsidRPr="0012697C" w:rsidRDefault="00343214" w:rsidP="00B6314E">
      <w:pPr>
        <w:jc w:val="both"/>
        <w:rPr>
          <w:lang w:val="el-GR"/>
        </w:rPr>
      </w:pPr>
      <w:r w:rsidRPr="00343214">
        <w:rPr>
          <w:rFonts w:ascii="Arial Black" w:hAnsi="Arial Black"/>
          <w:lang w:val="el-GR"/>
        </w:rPr>
        <w:t>4.1.</w:t>
      </w:r>
      <w:r w:rsidR="00444BB0">
        <w:rPr>
          <w:rFonts w:ascii="Arial Black" w:hAnsi="Arial Black"/>
          <w:lang w:val="el-GR"/>
        </w:rPr>
        <w:t>1</w:t>
      </w:r>
      <w:r>
        <w:rPr>
          <w:lang w:val="el-GR"/>
        </w:rPr>
        <w:t xml:space="preserve"> </w:t>
      </w:r>
      <w:r w:rsidR="007A4C7B">
        <w:rPr>
          <w:lang w:val="el-GR"/>
        </w:rPr>
        <w:t>Οπότε</w:t>
      </w:r>
      <w:r w:rsidR="007A4C7B" w:rsidRPr="004E75EB">
        <w:rPr>
          <w:lang w:val="el-GR"/>
        </w:rPr>
        <w:t xml:space="preserve"> </w:t>
      </w:r>
      <w:r w:rsidR="007A4C7B">
        <w:rPr>
          <w:lang w:val="el-GR"/>
        </w:rPr>
        <w:t>για το ΕΣΜΗΕ</w:t>
      </w:r>
      <w:r w:rsidR="007A4C7B" w:rsidRPr="00A115E1">
        <w:rPr>
          <w:lang w:val="el-GR"/>
        </w:rPr>
        <w:t xml:space="preserve">, </w:t>
      </w:r>
      <w:r w:rsidR="007A4C7B">
        <w:rPr>
          <w:lang w:val="el-GR"/>
        </w:rPr>
        <w:t>που είναι συγχρονισμέν</w:t>
      </w:r>
      <w:r w:rsidR="00D5122D">
        <w:rPr>
          <w:lang w:val="el-GR"/>
        </w:rPr>
        <w:t>ο</w:t>
      </w:r>
      <w:r w:rsidR="007A4C7B">
        <w:rPr>
          <w:lang w:val="el-GR"/>
        </w:rPr>
        <w:t xml:space="preserve"> με </w:t>
      </w:r>
      <w:r w:rsidR="007A4C7B" w:rsidRPr="00046A68">
        <w:rPr>
          <w:lang w:val="el-GR"/>
        </w:rPr>
        <w:t>το Ευρωπαϊκό Σύστημα της Ηπειρωτικής Ευρώπης (</w:t>
      </w:r>
      <w:r w:rsidR="007A4C7B">
        <w:t>Continental</w:t>
      </w:r>
      <w:r w:rsidR="007A4C7B" w:rsidRPr="00046A68">
        <w:rPr>
          <w:lang w:val="el-GR"/>
        </w:rPr>
        <w:t xml:space="preserve"> </w:t>
      </w:r>
      <w:r w:rsidR="007A4C7B">
        <w:t>Europe</w:t>
      </w:r>
      <w:r w:rsidR="007A4C7B" w:rsidRPr="00046A68">
        <w:rPr>
          <w:lang w:val="el-GR"/>
        </w:rPr>
        <w:t xml:space="preserve"> – </w:t>
      </w:r>
      <w:r w:rsidR="007A4C7B">
        <w:t>CE</w:t>
      </w:r>
      <w:r w:rsidR="007A4C7B" w:rsidRPr="00046A68">
        <w:rPr>
          <w:lang w:val="el-GR"/>
        </w:rPr>
        <w:t>)</w:t>
      </w:r>
      <w:r w:rsidR="007A4C7B">
        <w:rPr>
          <w:lang w:val="el-GR"/>
        </w:rPr>
        <w:t xml:space="preserve">, η παράμετρος </w:t>
      </w:r>
      <w:r w:rsidR="007A4C7B">
        <w:t>FRCE</w:t>
      </w:r>
      <w:r w:rsidR="007A4C7B">
        <w:rPr>
          <w:lang w:val="el-GR"/>
        </w:rPr>
        <w:t xml:space="preserve"> ισούται με το </w:t>
      </w:r>
      <w:r w:rsidR="0012697C">
        <w:t>Area</w:t>
      </w:r>
      <w:r w:rsidR="0012697C" w:rsidRPr="0012697C">
        <w:rPr>
          <w:lang w:val="el-GR"/>
        </w:rPr>
        <w:t xml:space="preserve"> </w:t>
      </w:r>
      <w:r w:rsidR="0012697C">
        <w:t>Control</w:t>
      </w:r>
      <w:r w:rsidR="0012697C" w:rsidRPr="0012697C">
        <w:rPr>
          <w:lang w:val="el-GR"/>
        </w:rPr>
        <w:t xml:space="preserve"> </w:t>
      </w:r>
      <w:r w:rsidR="0012697C">
        <w:t>Error</w:t>
      </w:r>
      <w:r w:rsidR="0012697C" w:rsidRPr="0012697C">
        <w:rPr>
          <w:lang w:val="el-GR"/>
        </w:rPr>
        <w:t xml:space="preserve"> </w:t>
      </w:r>
      <w:r w:rsidR="007A4C7B" w:rsidRPr="00F623F6">
        <w:rPr>
          <w:lang w:val="el-GR"/>
        </w:rPr>
        <w:t xml:space="preserve">ή </w:t>
      </w:r>
      <w:r w:rsidR="007A4C7B">
        <w:t>ACE</w:t>
      </w:r>
      <w:r w:rsidR="007A4C7B">
        <w:rPr>
          <w:lang w:val="el-GR"/>
        </w:rPr>
        <w:t>, δηλαδή</w:t>
      </w:r>
      <w:r w:rsidR="0012697C" w:rsidRPr="0012697C">
        <w:rPr>
          <w:lang w:val="el-GR"/>
        </w:rPr>
        <w:t>:</w:t>
      </w:r>
    </w:p>
    <w:p w14:paraId="0ED02A20" w14:textId="77777777" w:rsidR="00B6314E" w:rsidRPr="00475B6E" w:rsidRDefault="00B6314E" w:rsidP="00B6314E">
      <w:pPr>
        <w:rPr>
          <w:b/>
          <w:bCs/>
        </w:rPr>
      </w:pPr>
      <m:oMathPara>
        <m:oMath>
          <m:r>
            <m:rPr>
              <m:sty m:val="bi"/>
            </m:rPr>
            <w:rPr>
              <w:rFonts w:ascii="Cambria Math" w:eastAsiaTheme="minorEastAsia" w:hAnsi="Cambria Math"/>
              <w:lang w:val="el-GR"/>
            </w:rPr>
            <m:t>FRCE=(Pnet_</m:t>
          </m:r>
          <m:r>
            <m:rPr>
              <m:sty m:val="bi"/>
            </m:rPr>
            <w:rPr>
              <w:rFonts w:ascii="Cambria Math" w:eastAsiaTheme="minorEastAsia" w:hAnsi="Cambria Math"/>
            </w:rPr>
            <m:t>actual</m:t>
          </m:r>
          <m:r>
            <m:rPr>
              <m:sty m:val="bi"/>
            </m:rPr>
            <w:rPr>
              <w:rFonts w:ascii="Cambria Math" w:eastAsiaTheme="minorEastAsia" w:hAnsi="Cambria Math"/>
              <w:lang w:val="el-GR"/>
            </w:rPr>
            <m:t>-Pnet_scheduled)+K*Δ</m:t>
          </m:r>
          <m:r>
            <m:rPr>
              <m:sty m:val="bi"/>
            </m:rPr>
            <w:rPr>
              <w:rFonts w:ascii="Cambria Math" w:eastAsiaTheme="minorEastAsia" w:hAnsi="Cambria Math"/>
            </w:rPr>
            <m:t>f</m:t>
          </m:r>
        </m:oMath>
      </m:oMathPara>
    </w:p>
    <w:p w14:paraId="62ECB7BC" w14:textId="77777777" w:rsidR="00B6314E" w:rsidRDefault="00B6314E" w:rsidP="00B6314E">
      <w:pPr>
        <w:spacing w:line="240" w:lineRule="auto"/>
        <w:rPr>
          <w:rFonts w:eastAsiaTheme="minorEastAsia"/>
          <w:iCs/>
          <w:lang w:val="el-GR"/>
        </w:rPr>
      </w:pPr>
      <w:r>
        <w:rPr>
          <w:rFonts w:eastAsiaTheme="minorEastAsia"/>
          <w:iCs/>
          <w:lang w:val="el-GR"/>
        </w:rPr>
        <w:t>Όπου</w:t>
      </w:r>
      <w:r w:rsidRPr="00405CC5">
        <w:rPr>
          <w:rFonts w:eastAsiaTheme="minorEastAsia"/>
          <w:iCs/>
          <w:lang w:val="el-GR"/>
        </w:rPr>
        <w:t xml:space="preserve">: </w:t>
      </w:r>
    </w:p>
    <w:p w14:paraId="2E518449" w14:textId="77777777" w:rsidR="00B6314E" w:rsidRPr="00AC5851" w:rsidRDefault="00B6314E" w:rsidP="00B6314E">
      <w:pPr>
        <w:pStyle w:val="a3"/>
        <w:numPr>
          <w:ilvl w:val="0"/>
          <w:numId w:val="18"/>
        </w:numPr>
        <w:spacing w:line="240" w:lineRule="auto"/>
        <w:jc w:val="both"/>
        <w:rPr>
          <w:rFonts w:eastAsiaTheme="minorEastAsia"/>
          <w:iCs/>
          <w:lang w:val="el-GR"/>
        </w:rPr>
      </w:pPr>
      <w:r w:rsidRPr="00AC5851">
        <w:rPr>
          <w:rFonts w:eastAsiaTheme="minorEastAsia"/>
          <w:iCs/>
          <w:lang w:val="el-GR"/>
        </w:rPr>
        <w:t>Δ</w:t>
      </w:r>
      <w:r w:rsidRPr="00AC5851">
        <w:rPr>
          <w:rFonts w:eastAsiaTheme="minorEastAsia"/>
          <w:iCs/>
        </w:rPr>
        <w:t>P</w:t>
      </w:r>
      <w:r w:rsidRPr="00AC5851">
        <w:rPr>
          <w:rFonts w:eastAsiaTheme="minorEastAsia"/>
          <w:iCs/>
          <w:lang w:val="el-GR"/>
        </w:rPr>
        <w:t xml:space="preserve"> = </w:t>
      </w:r>
      <w:r w:rsidRPr="00AC5851">
        <w:rPr>
          <w:rFonts w:eastAsiaTheme="minorEastAsia"/>
          <w:iCs/>
        </w:rPr>
        <w:t>P</w:t>
      </w:r>
      <w:r w:rsidRPr="00AC5851">
        <w:rPr>
          <w:rFonts w:eastAsiaTheme="minorEastAsia"/>
          <w:iCs/>
          <w:vertAlign w:val="subscript"/>
        </w:rPr>
        <w:t>net</w:t>
      </w:r>
      <w:r w:rsidRPr="00AC5851">
        <w:rPr>
          <w:rFonts w:eastAsiaTheme="minorEastAsia"/>
          <w:iCs/>
          <w:vertAlign w:val="subscript"/>
          <w:lang w:val="el-GR"/>
        </w:rPr>
        <w:t>_</w:t>
      </w:r>
      <w:r w:rsidRPr="00AC5851">
        <w:rPr>
          <w:rFonts w:eastAsiaTheme="minorEastAsia"/>
          <w:iCs/>
          <w:vertAlign w:val="subscript"/>
        </w:rPr>
        <w:t>actual</w:t>
      </w:r>
      <w:r w:rsidRPr="00AC5851">
        <w:rPr>
          <w:rFonts w:eastAsiaTheme="minorEastAsia"/>
          <w:iCs/>
          <w:lang w:val="el-GR"/>
        </w:rPr>
        <w:t xml:space="preserve"> - </w:t>
      </w:r>
      <w:r w:rsidRPr="00AC5851">
        <w:rPr>
          <w:rFonts w:eastAsiaTheme="minorEastAsia"/>
          <w:iCs/>
        </w:rPr>
        <w:t>P</w:t>
      </w:r>
      <w:r w:rsidR="007203F1">
        <w:rPr>
          <w:rFonts w:eastAsiaTheme="minorEastAsia"/>
          <w:iCs/>
          <w:vertAlign w:val="subscript"/>
        </w:rPr>
        <w:t>net</w:t>
      </w:r>
      <w:r w:rsidR="007203F1" w:rsidRPr="007203F1">
        <w:rPr>
          <w:rFonts w:eastAsiaTheme="minorEastAsia"/>
          <w:iCs/>
          <w:vertAlign w:val="subscript"/>
          <w:lang w:val="el-GR"/>
        </w:rPr>
        <w:t>_</w:t>
      </w:r>
      <w:r w:rsidR="007203F1">
        <w:rPr>
          <w:rFonts w:eastAsiaTheme="minorEastAsia"/>
          <w:iCs/>
          <w:vertAlign w:val="subscript"/>
        </w:rPr>
        <w:t>s</w:t>
      </w:r>
      <w:r w:rsidRPr="00AC5851">
        <w:rPr>
          <w:rFonts w:eastAsiaTheme="minorEastAsia"/>
          <w:iCs/>
          <w:vertAlign w:val="subscript"/>
        </w:rPr>
        <w:t>cheduled</w:t>
      </w:r>
      <w:r w:rsidRPr="00AC5851">
        <w:rPr>
          <w:rFonts w:eastAsiaTheme="minorEastAsia"/>
          <w:iCs/>
          <w:lang w:val="el-GR"/>
        </w:rPr>
        <w:t>: Σφάλμα ελέγχου ισχύος του ΕΣΜΗΕ,</w:t>
      </w:r>
    </w:p>
    <w:p w14:paraId="084CA7F5" w14:textId="77777777" w:rsidR="00B6314E" w:rsidRPr="00AC5851" w:rsidRDefault="00B6314E" w:rsidP="00B6314E">
      <w:pPr>
        <w:pStyle w:val="a3"/>
        <w:numPr>
          <w:ilvl w:val="0"/>
          <w:numId w:val="18"/>
        </w:numPr>
        <w:spacing w:line="240" w:lineRule="auto"/>
        <w:jc w:val="both"/>
        <w:rPr>
          <w:rFonts w:eastAsiaTheme="minorEastAsia"/>
          <w:iCs/>
          <w:lang w:val="el-GR"/>
        </w:rPr>
      </w:pPr>
      <w:r w:rsidRPr="00075896">
        <w:t>P</w:t>
      </w:r>
      <w:r w:rsidRPr="00AC5851">
        <w:rPr>
          <w:vertAlign w:val="subscript"/>
        </w:rPr>
        <w:t>net</w:t>
      </w:r>
      <w:r w:rsidRPr="00AC5851">
        <w:rPr>
          <w:vertAlign w:val="subscript"/>
          <w:lang w:val="el-GR"/>
        </w:rPr>
        <w:t>_</w:t>
      </w:r>
      <w:r w:rsidRPr="00AC5851">
        <w:rPr>
          <w:vertAlign w:val="subscript"/>
        </w:rPr>
        <w:t>actual</w:t>
      </w:r>
      <w:r w:rsidRPr="00AC5851">
        <w:rPr>
          <w:lang w:val="el-GR"/>
        </w:rPr>
        <w:t>: πραγματική (</w:t>
      </w:r>
      <w:r w:rsidRPr="00075896">
        <w:t>real</w:t>
      </w:r>
      <w:r w:rsidRPr="00AC5851">
        <w:rPr>
          <w:lang w:val="el-GR"/>
        </w:rPr>
        <w:t xml:space="preserve"> </w:t>
      </w:r>
      <w:r w:rsidRPr="00075896">
        <w:t>time</w:t>
      </w:r>
      <w:r w:rsidRPr="00AC5851">
        <w:rPr>
          <w:lang w:val="el-GR"/>
        </w:rPr>
        <w:t xml:space="preserve">) τιμή ανταλλαγής ισχύος με τις γειτονικές </w:t>
      </w:r>
      <w:r w:rsidRPr="00075896">
        <w:t>AC</w:t>
      </w:r>
      <w:r w:rsidRPr="00AC5851">
        <w:rPr>
          <w:lang w:val="el-GR"/>
        </w:rPr>
        <w:t xml:space="preserve"> διασυνδεδεμένες περιοχές ελέγχου σε </w:t>
      </w:r>
      <w:r w:rsidRPr="00075896">
        <w:t>MW</w:t>
      </w:r>
      <w:r w:rsidRPr="00AC5851">
        <w:rPr>
          <w:lang w:val="el-GR"/>
        </w:rPr>
        <w:t xml:space="preserve"> </w:t>
      </w:r>
      <w:r w:rsidRPr="00AC5851">
        <w:rPr>
          <w:rFonts w:eastAsiaTheme="minorEastAsia"/>
          <w:iCs/>
          <w:lang w:val="el-GR"/>
        </w:rPr>
        <w:t>(π.χ. για το ΕΣΜΗΕ, διασύνδεση Ελλάδας με Βουλγαρία, Τουρκία και Αλβανία),</w:t>
      </w:r>
    </w:p>
    <w:p w14:paraId="7FD427C2" w14:textId="77777777" w:rsidR="00B6314E" w:rsidRPr="00A7310E" w:rsidRDefault="00B6314E" w:rsidP="00B6314E">
      <w:pPr>
        <w:pStyle w:val="a3"/>
        <w:numPr>
          <w:ilvl w:val="0"/>
          <w:numId w:val="18"/>
        </w:numPr>
        <w:spacing w:line="240" w:lineRule="auto"/>
        <w:jc w:val="both"/>
        <w:rPr>
          <w:rFonts w:eastAsiaTheme="minorEastAsia"/>
          <w:iCs/>
          <w:lang w:val="el-GR"/>
        </w:rPr>
      </w:pPr>
      <w:r w:rsidRPr="00075896">
        <w:t>P</w:t>
      </w:r>
      <w:r w:rsidR="00C4795B">
        <w:rPr>
          <w:vertAlign w:val="subscript"/>
        </w:rPr>
        <w:t>net</w:t>
      </w:r>
      <w:r w:rsidR="00C4795B" w:rsidRPr="00C4795B">
        <w:rPr>
          <w:vertAlign w:val="subscript"/>
          <w:lang w:val="el-GR"/>
        </w:rPr>
        <w:t>_</w:t>
      </w:r>
      <w:r w:rsidR="00C4795B">
        <w:rPr>
          <w:vertAlign w:val="subscript"/>
        </w:rPr>
        <w:t>s</w:t>
      </w:r>
      <w:r w:rsidRPr="00AC5851">
        <w:rPr>
          <w:vertAlign w:val="subscript"/>
        </w:rPr>
        <w:t>cheduled</w:t>
      </w:r>
      <w:r w:rsidRPr="00AC5851">
        <w:rPr>
          <w:lang w:val="el-GR"/>
        </w:rPr>
        <w:t xml:space="preserve">: Προγραμματισμένη τιμή ανταλλαγής ισχύος με τις </w:t>
      </w:r>
      <w:r w:rsidRPr="00075896">
        <w:t>AC</w:t>
      </w:r>
      <w:r w:rsidRPr="00AC5851">
        <w:rPr>
          <w:lang w:val="el-GR"/>
        </w:rPr>
        <w:t xml:space="preserve"> γειτονικές </w:t>
      </w:r>
      <w:r w:rsidRPr="00A7310E">
        <w:rPr>
          <w:lang w:val="el-GR"/>
        </w:rPr>
        <w:t xml:space="preserve">διασυνδεδεμένες περιοχές ελέγχου σε </w:t>
      </w:r>
      <w:r w:rsidRPr="00A7310E">
        <w:t>MW</w:t>
      </w:r>
      <w:r w:rsidRPr="00A7310E">
        <w:rPr>
          <w:lang w:val="el-GR"/>
        </w:rPr>
        <w:t>,</w:t>
      </w:r>
    </w:p>
    <w:p w14:paraId="090641CE" w14:textId="77777777" w:rsidR="00C4795B" w:rsidRPr="00A7310E" w:rsidRDefault="00C4795B" w:rsidP="00C4795B">
      <w:pPr>
        <w:pStyle w:val="a3"/>
        <w:numPr>
          <w:ilvl w:val="0"/>
          <w:numId w:val="18"/>
        </w:numPr>
        <w:spacing w:line="240" w:lineRule="auto"/>
        <w:jc w:val="both"/>
        <w:rPr>
          <w:i/>
          <w:lang w:val="el-GR"/>
        </w:rPr>
      </w:pPr>
      <w:r w:rsidRPr="00A7310E">
        <w:t>K</w:t>
      </w:r>
      <w:r w:rsidRPr="00A7310E">
        <w:rPr>
          <w:rStyle w:val="a5"/>
          <w:lang w:val="el-GR"/>
        </w:rPr>
        <w:footnoteReference w:id="5"/>
      </w:r>
      <w:r w:rsidRPr="00A7310E">
        <w:rPr>
          <w:lang w:val="el-GR"/>
        </w:rPr>
        <w:t xml:space="preserve">: συντελεστής βαρύτητας </w:t>
      </w:r>
      <w:r w:rsidRPr="00A7310E">
        <w:t>K</w:t>
      </w:r>
      <w:r w:rsidRPr="00A7310E">
        <w:rPr>
          <w:lang w:val="el-GR"/>
        </w:rPr>
        <w:t xml:space="preserve"> για </w:t>
      </w:r>
      <w:r w:rsidRPr="00A7310E">
        <w:rPr>
          <w:b/>
          <w:bCs/>
          <w:lang w:val="el-GR"/>
        </w:rPr>
        <w:t xml:space="preserve">το </w:t>
      </w:r>
      <w:r w:rsidR="00F03D7A" w:rsidRPr="00A7310E">
        <w:rPr>
          <w:b/>
          <w:bCs/>
          <w:lang w:val="el-GR"/>
        </w:rPr>
        <w:t>Σύστημα</w:t>
      </w:r>
      <w:r w:rsidRPr="00A7310E">
        <w:rPr>
          <w:b/>
          <w:bCs/>
          <w:lang w:val="el-GR"/>
        </w:rPr>
        <w:t xml:space="preserve"> του ΕΣΜΗΕ</w:t>
      </w:r>
      <w:r w:rsidRPr="00A7310E">
        <w:rPr>
          <w:lang w:val="el-GR"/>
        </w:rPr>
        <w:t xml:space="preserve">, τιμή εκφραζόμενη σε μεγαβάτ ανά </w:t>
      </w:r>
      <w:r w:rsidRPr="00A7310E">
        <w:t>Hertz</w:t>
      </w:r>
      <w:r w:rsidRPr="00A7310E">
        <w:rPr>
          <w:lang w:val="el-GR"/>
        </w:rPr>
        <w:t xml:space="preserve"> ('</w:t>
      </w:r>
      <w:r w:rsidRPr="00A7310E">
        <w:t>MW</w:t>
      </w:r>
      <w:r w:rsidRPr="00A7310E">
        <w:rPr>
          <w:lang w:val="el-GR"/>
        </w:rPr>
        <w:t>/</w:t>
      </w:r>
      <w:r w:rsidRPr="00A7310E">
        <w:t>Hz</w:t>
      </w:r>
      <w:r w:rsidRPr="00A7310E">
        <w:rPr>
          <w:lang w:val="el-GR"/>
        </w:rPr>
        <w:t xml:space="preserve">'), </w:t>
      </w:r>
      <w:r w:rsidR="00485613" w:rsidRPr="00A7310E">
        <w:rPr>
          <w:lang w:val="el-GR"/>
        </w:rPr>
        <w:t xml:space="preserve">που </w:t>
      </w:r>
      <w:r w:rsidRPr="00A7310E">
        <w:rPr>
          <w:lang w:val="el-GR"/>
        </w:rPr>
        <w:t xml:space="preserve">υπολογίζεται ξεχωριστά για κάθε </w:t>
      </w:r>
      <w:r w:rsidR="005257CC" w:rsidRPr="00A7310E">
        <w:t>LFC</w:t>
      </w:r>
      <w:r w:rsidR="005257CC" w:rsidRPr="00A7310E">
        <w:rPr>
          <w:lang w:val="el-GR"/>
        </w:rPr>
        <w:t xml:space="preserve"> </w:t>
      </w:r>
      <w:r w:rsidR="001229B7" w:rsidRPr="00A7310E">
        <w:t>Area</w:t>
      </w:r>
      <w:r w:rsidR="000F0CA1" w:rsidRPr="00A7310E">
        <w:rPr>
          <w:lang w:val="el-GR"/>
        </w:rPr>
        <w:t xml:space="preserve"> της Ηπειρωτικής Ευρώπης</w:t>
      </w:r>
      <w:r w:rsidRPr="00A7310E">
        <w:rPr>
          <w:lang w:val="el-GR"/>
        </w:rPr>
        <w:t xml:space="preserve">, </w:t>
      </w:r>
    </w:p>
    <w:p w14:paraId="501726EB" w14:textId="77777777" w:rsidR="00B6314E" w:rsidRPr="00D67C3B" w:rsidRDefault="00B6314E" w:rsidP="00B6314E">
      <w:pPr>
        <w:pStyle w:val="a3"/>
        <w:numPr>
          <w:ilvl w:val="0"/>
          <w:numId w:val="18"/>
        </w:numPr>
        <w:spacing w:line="240" w:lineRule="auto"/>
        <w:jc w:val="both"/>
        <w:rPr>
          <w:lang w:val="el-GR"/>
        </w:rPr>
      </w:pPr>
      <w:r w:rsidRPr="00D67C3B">
        <w:lastRenderedPageBreak/>
        <w:t>K</w:t>
      </w:r>
      <w:r w:rsidRPr="00D67C3B">
        <w:rPr>
          <w:lang w:val="el-GR"/>
        </w:rPr>
        <w:t>*Δ</w:t>
      </w:r>
      <w:r w:rsidRPr="00D67C3B">
        <w:t>f</w:t>
      </w:r>
      <w:r w:rsidRPr="00D67C3B">
        <w:rPr>
          <w:lang w:val="el-GR"/>
        </w:rPr>
        <w:t>: σφάλμα ελέγχου συχνότητας</w:t>
      </w:r>
      <w:r>
        <w:rPr>
          <w:lang w:val="el-GR"/>
        </w:rPr>
        <w:t xml:space="preserve"> του ΕΣΜΗΕ</w:t>
      </w:r>
      <w:r w:rsidRPr="00D67C3B">
        <w:rPr>
          <w:lang w:val="el-GR"/>
        </w:rPr>
        <w:t>, δηλαδή το γινόμενο του συντελεστή βαρύτητας Κ για το Σύστημα του ΕΣΜΗΕ επί της απόκλισης συχνότητας Δ</w:t>
      </w:r>
      <w:r w:rsidRPr="00D67C3B">
        <w:t>f</w:t>
      </w:r>
      <w:r w:rsidR="00485613" w:rsidRPr="00485613">
        <w:rPr>
          <w:lang w:val="el-GR"/>
        </w:rPr>
        <w:t xml:space="preserve"> </w:t>
      </w:r>
      <w:r w:rsidR="00485613">
        <w:sym w:font="Wingdings" w:char="F0E0"/>
      </w:r>
      <w:r w:rsidRPr="00D67C3B">
        <w:rPr>
          <w:lang w:val="el-GR"/>
        </w:rPr>
        <w:t xml:space="preserve"> </w:t>
      </w:r>
      <w:r w:rsidRPr="00765E47">
        <w:rPr>
          <w:lang w:val="el-GR"/>
        </w:rPr>
        <w:t>συνολικά</w:t>
      </w:r>
      <w:r w:rsidRPr="00D67C3B">
        <w:rPr>
          <w:lang w:val="el-GR"/>
        </w:rPr>
        <w:t xml:space="preserve"> </w:t>
      </w:r>
      <w:r w:rsidR="001229B7">
        <w:rPr>
          <w:lang w:val="el-GR"/>
        </w:rPr>
        <w:t xml:space="preserve">αντιστοιχεί στην </w:t>
      </w:r>
      <w:r w:rsidRPr="00D67C3B">
        <w:rPr>
          <w:lang w:val="el-GR"/>
        </w:rPr>
        <w:t xml:space="preserve">εφεδρεία </w:t>
      </w:r>
      <w:r w:rsidRPr="00D67C3B">
        <w:t>FCR</w:t>
      </w:r>
      <w:r w:rsidR="00485613">
        <w:rPr>
          <w:lang w:val="el-GR"/>
        </w:rPr>
        <w:t xml:space="preserve"> που αναλογεί στο </w:t>
      </w:r>
      <w:r w:rsidR="00485613">
        <w:t>LFC</w:t>
      </w:r>
      <w:r w:rsidR="00485613" w:rsidRPr="00485613">
        <w:rPr>
          <w:lang w:val="el-GR"/>
        </w:rPr>
        <w:t xml:space="preserve"> </w:t>
      </w:r>
      <w:r w:rsidR="00485613">
        <w:t>Block</w:t>
      </w:r>
      <w:r w:rsidR="00485613" w:rsidRPr="00485613">
        <w:rPr>
          <w:lang w:val="el-GR"/>
        </w:rPr>
        <w:t xml:space="preserve"> </w:t>
      </w:r>
      <w:r w:rsidR="00485613">
        <w:rPr>
          <w:lang w:val="el-GR"/>
        </w:rPr>
        <w:t xml:space="preserve">του ΕΣΜΗΕ μέσω της </w:t>
      </w:r>
      <w:r w:rsidR="00485613">
        <w:t>joint</w:t>
      </w:r>
      <w:r w:rsidR="00485613" w:rsidRPr="00485613">
        <w:rPr>
          <w:lang w:val="el-GR"/>
        </w:rPr>
        <w:t xml:space="preserve"> </w:t>
      </w:r>
      <w:r w:rsidR="00485613">
        <w:t>action</w:t>
      </w:r>
      <w:r w:rsidR="00485613" w:rsidRPr="00485613">
        <w:rPr>
          <w:lang w:val="el-GR"/>
        </w:rPr>
        <w:t xml:space="preserve"> </w:t>
      </w:r>
      <w:r w:rsidR="00485613">
        <w:rPr>
          <w:lang w:val="el-GR"/>
        </w:rPr>
        <w:t xml:space="preserve">της </w:t>
      </w:r>
      <w:r w:rsidR="00485613">
        <w:t>FCR</w:t>
      </w:r>
      <w:r w:rsidR="00485613" w:rsidRPr="00485613">
        <w:rPr>
          <w:lang w:val="el-GR"/>
        </w:rPr>
        <w:t xml:space="preserve"> </w:t>
      </w:r>
      <w:r w:rsidR="00485613">
        <w:rPr>
          <w:lang w:val="el-GR"/>
        </w:rPr>
        <w:t>στην Ηπειρωτική Ευρώπη,</w:t>
      </w:r>
      <w:r w:rsidR="00485613" w:rsidRPr="00485613">
        <w:rPr>
          <w:lang w:val="el-GR"/>
        </w:rPr>
        <w:t xml:space="preserve"> </w:t>
      </w:r>
      <w:r w:rsidRPr="00D67C3B">
        <w:rPr>
          <w:lang w:val="el-GR"/>
        </w:rPr>
        <w:t>για την Δ</w:t>
      </w:r>
      <w:r w:rsidRPr="00D67C3B">
        <w:t>f</w:t>
      </w:r>
      <w:r w:rsidRPr="00D67C3B">
        <w:rPr>
          <w:lang w:val="el-GR"/>
        </w:rPr>
        <w:t xml:space="preserve"> απόκλιση,</w:t>
      </w:r>
    </w:p>
    <w:p w14:paraId="233CF039" w14:textId="77777777" w:rsidR="00B6314E" w:rsidRPr="00AC5851" w:rsidRDefault="00B6314E" w:rsidP="00B6314E">
      <w:pPr>
        <w:pStyle w:val="a3"/>
        <w:numPr>
          <w:ilvl w:val="0"/>
          <w:numId w:val="18"/>
        </w:numPr>
        <w:spacing w:line="240" w:lineRule="auto"/>
        <w:jc w:val="both"/>
        <w:rPr>
          <w:rFonts w:eastAsiaTheme="minorEastAsia"/>
          <w:lang w:val="el-GR"/>
        </w:rPr>
      </w:pPr>
      <w:r w:rsidRPr="00AC5851">
        <w:rPr>
          <w:lang w:val="el-GR"/>
        </w:rPr>
        <w:t>Δ</w:t>
      </w:r>
      <w:r w:rsidRPr="00011363">
        <w:t>f</w:t>
      </w:r>
      <w:r w:rsidRPr="00AC5851">
        <w:rPr>
          <w:lang w:val="el-GR"/>
        </w:rPr>
        <w:t>: η διαφορά μεταξύ της πραγματικής και της ονομαστικής συχνότητας στη</w:t>
      </w:r>
      <w:r w:rsidR="00C4795B">
        <w:rPr>
          <w:lang w:val="el-GR"/>
        </w:rPr>
        <w:t>ν Ηπειρωτική Ευρώπη</w:t>
      </w:r>
      <w:r w:rsidR="00D51502">
        <w:rPr>
          <w:lang w:val="el-GR"/>
        </w:rPr>
        <w:t xml:space="preserve"> σε μία χρονική στιγμή</w:t>
      </w:r>
      <w:r w:rsidRPr="00AC5851">
        <w:rPr>
          <w:lang w:val="el-GR"/>
        </w:rPr>
        <w:t>, η οποία μπορεί να είναι αρνητική ή θετική.</w:t>
      </w:r>
    </w:p>
    <w:p w14:paraId="73D86EEE" w14:textId="77777777" w:rsidR="004F5A62" w:rsidRPr="004F5A62" w:rsidRDefault="00B6314E" w:rsidP="00B6314E">
      <w:pPr>
        <w:pStyle w:val="a3"/>
        <w:numPr>
          <w:ilvl w:val="0"/>
          <w:numId w:val="18"/>
        </w:numPr>
        <w:spacing w:line="240" w:lineRule="auto"/>
        <w:jc w:val="both"/>
        <w:rPr>
          <w:lang w:val="el-GR"/>
        </w:rPr>
      </w:pPr>
      <w:r w:rsidRPr="00793F7E">
        <w:rPr>
          <w:u w:val="single"/>
          <w:lang w:val="el-GR"/>
        </w:rPr>
        <w:t xml:space="preserve">Σημειώνεται πως, η </w:t>
      </w:r>
      <w:r w:rsidRPr="00793F7E">
        <w:rPr>
          <w:u w:val="single"/>
        </w:rPr>
        <w:t>DC</w:t>
      </w:r>
      <w:r w:rsidRPr="00793F7E">
        <w:rPr>
          <w:u w:val="single"/>
          <w:lang w:val="el-GR"/>
        </w:rPr>
        <w:t xml:space="preserve"> διασύνδεση Ελλάδας-Ιταλίας δεν συμμετέχει στο </w:t>
      </w:r>
      <w:r w:rsidR="00C4795B" w:rsidRPr="00793F7E">
        <w:rPr>
          <w:u w:val="single"/>
        </w:rPr>
        <w:t>FRCE</w:t>
      </w:r>
      <w:r w:rsidRPr="00793F7E">
        <w:rPr>
          <w:u w:val="single"/>
          <w:lang w:val="el-GR"/>
        </w:rPr>
        <w:t>,</w:t>
      </w:r>
      <w:r w:rsidRPr="003B419E">
        <w:rPr>
          <w:lang w:val="el-GR"/>
        </w:rPr>
        <w:t xml:space="preserve"> </w:t>
      </w:r>
      <w:r w:rsidR="006E14E5">
        <w:rPr>
          <w:rStyle w:val="a5"/>
          <w:lang w:val="el-GR"/>
        </w:rPr>
        <w:footnoteReference w:id="6"/>
      </w:r>
      <w:r w:rsidR="00186D78">
        <w:rPr>
          <w:lang w:val="el-GR"/>
        </w:rPr>
        <w:t xml:space="preserve"> </w:t>
      </w:r>
      <w:r w:rsidRPr="003B419E">
        <w:rPr>
          <w:lang w:val="el-GR"/>
        </w:rPr>
        <w:t xml:space="preserve">καθώς αυτή ελέγχεται άμεσα και αυτόνομα από τον ελεγκτή του </w:t>
      </w:r>
      <w:r>
        <w:t>HVDC</w:t>
      </w:r>
      <w:r w:rsidRPr="003B419E">
        <w:rPr>
          <w:lang w:val="el-GR"/>
        </w:rPr>
        <w:t xml:space="preserve"> συστήματος.</w:t>
      </w:r>
    </w:p>
    <w:p w14:paraId="51249174" w14:textId="77777777" w:rsidR="004F5A62" w:rsidRPr="00502394" w:rsidRDefault="004F5A62" w:rsidP="004F5A62">
      <w:pPr>
        <w:jc w:val="both"/>
        <w:rPr>
          <w:rFonts w:cstheme="minorHAnsi"/>
          <w:lang w:val="el-GR"/>
        </w:rPr>
      </w:pPr>
      <w:r>
        <w:rPr>
          <w:rFonts w:ascii="Arial Black" w:hAnsi="Arial Black"/>
          <w:lang w:val="el-GR"/>
        </w:rPr>
        <w:t>4.1.</w:t>
      </w:r>
      <w:r w:rsidR="00F55BEB">
        <w:rPr>
          <w:rFonts w:ascii="Arial Black" w:hAnsi="Arial Black"/>
          <w:lang w:val="el-GR"/>
        </w:rPr>
        <w:t>2</w:t>
      </w:r>
      <w:r>
        <w:rPr>
          <w:rFonts w:ascii="Arial Black" w:hAnsi="Arial Black"/>
          <w:lang w:val="el-GR"/>
        </w:rPr>
        <w:t xml:space="preserve"> </w:t>
      </w:r>
      <w:r>
        <w:rPr>
          <w:lang w:val="el-GR"/>
        </w:rPr>
        <w:t>Ο</w:t>
      </w:r>
      <w:r w:rsidRPr="00B6314E">
        <w:rPr>
          <w:lang w:val="el-GR"/>
        </w:rPr>
        <w:t xml:space="preserve"> διαχειριστής</w:t>
      </w:r>
      <w:r>
        <w:rPr>
          <w:lang w:val="el-GR"/>
        </w:rPr>
        <w:t xml:space="preserve"> </w:t>
      </w:r>
      <w:r w:rsidRPr="00B6314E">
        <w:rPr>
          <w:lang w:val="el-GR"/>
        </w:rPr>
        <w:t>θα αναφέρει στην ετήσια έκθεση του</w:t>
      </w:r>
      <w:r>
        <w:rPr>
          <w:lang w:val="el-GR"/>
        </w:rPr>
        <w:t xml:space="preserve"> την τιμή του Συντελεστή Κ</w:t>
      </w:r>
      <w:r w:rsidR="00F55BEB">
        <w:rPr>
          <w:lang w:val="el-GR"/>
        </w:rPr>
        <w:t xml:space="preserve"> για το ΕΣΜΗΕ</w:t>
      </w:r>
      <w:r>
        <w:rPr>
          <w:lang w:val="el-GR"/>
        </w:rPr>
        <w:t xml:space="preserve"> για το έτος αναφοράς σε </w:t>
      </w:r>
      <w:r>
        <w:t>MW</w:t>
      </w:r>
      <w:r w:rsidRPr="00502394">
        <w:rPr>
          <w:lang w:val="el-GR"/>
        </w:rPr>
        <w:t>/</w:t>
      </w:r>
      <w:r>
        <w:t>Hz</w:t>
      </w:r>
      <w:r w:rsidRPr="00502394">
        <w:rPr>
          <w:lang w:val="el-GR"/>
        </w:rPr>
        <w:t>.</w:t>
      </w:r>
    </w:p>
    <w:p w14:paraId="02ECE5B0" w14:textId="77777777" w:rsidR="004F5A62" w:rsidRDefault="004F5A62" w:rsidP="004F5A62">
      <w:pPr>
        <w:jc w:val="both"/>
        <w:rPr>
          <w:lang w:val="el-GR"/>
        </w:rPr>
      </w:pPr>
      <w:r w:rsidRPr="00343214">
        <w:rPr>
          <w:rFonts w:ascii="Arial Black" w:hAnsi="Arial Black"/>
          <w:lang w:val="el-GR"/>
        </w:rPr>
        <w:t>4.1.</w:t>
      </w:r>
      <w:r w:rsidR="00F55BEB">
        <w:rPr>
          <w:rFonts w:ascii="Arial Black" w:hAnsi="Arial Black"/>
          <w:lang w:val="el-GR"/>
        </w:rPr>
        <w:t>3</w:t>
      </w:r>
      <w:r>
        <w:rPr>
          <w:lang w:val="el-GR"/>
        </w:rPr>
        <w:t xml:space="preserve"> </w:t>
      </w:r>
      <w:r w:rsidR="00EB06CA" w:rsidRPr="00EB06CA">
        <w:rPr>
          <w:lang w:val="el-GR"/>
        </w:rPr>
        <w:t xml:space="preserve"> </w:t>
      </w:r>
      <w:r>
        <w:rPr>
          <w:lang w:val="el-GR"/>
        </w:rPr>
        <w:t>Ο</w:t>
      </w:r>
      <w:r w:rsidRPr="00B6314E">
        <w:rPr>
          <w:lang w:val="el-GR"/>
        </w:rPr>
        <w:t xml:space="preserve"> διαχειριστής</w:t>
      </w:r>
      <w:r>
        <w:rPr>
          <w:lang w:val="el-GR"/>
        </w:rPr>
        <w:t xml:space="preserve"> του</w:t>
      </w:r>
      <w:r w:rsidRPr="00B6314E">
        <w:rPr>
          <w:lang w:val="el-GR"/>
        </w:rPr>
        <w:t xml:space="preserve"> ΕΣΜΗΕ θα αναφέρει στην ετήσια έκθεση του τις τιμές </w:t>
      </w:r>
      <w:r w:rsidRPr="00A7310E">
        <w:rPr>
          <w:b/>
          <w:bCs/>
          <w:lang w:val="el-GR"/>
        </w:rPr>
        <w:t>FRCE Level 1</w:t>
      </w:r>
      <w:r w:rsidRPr="00A7310E">
        <w:rPr>
          <w:lang w:val="el-GR"/>
        </w:rPr>
        <w:t xml:space="preserve"> και </w:t>
      </w:r>
      <w:r w:rsidRPr="00A7310E">
        <w:rPr>
          <w:b/>
          <w:bCs/>
          <w:lang w:val="el-GR"/>
        </w:rPr>
        <w:t>FRCE Level 2</w:t>
      </w:r>
      <w:r w:rsidRPr="00A7310E">
        <w:rPr>
          <w:lang w:val="el-GR"/>
        </w:rPr>
        <w:t xml:space="preserve"> για το </w:t>
      </w:r>
      <w:r w:rsidR="00F55BEB" w:rsidRPr="00A7310E">
        <w:rPr>
          <w:lang w:val="el-GR"/>
        </w:rPr>
        <w:t xml:space="preserve">Σύστημα του ΕΣΜΗΕ σε </w:t>
      </w:r>
      <w:r w:rsidR="00F55BEB" w:rsidRPr="00A7310E">
        <w:t>MW</w:t>
      </w:r>
      <w:r w:rsidRPr="00A7310E">
        <w:rPr>
          <w:lang w:val="el-GR"/>
        </w:rPr>
        <w:t>, όπως αυτές ορίζονται στην ετήσια επιχειρησιακή</w:t>
      </w:r>
      <w:r w:rsidRPr="00B6314E">
        <w:rPr>
          <w:lang w:val="el-GR"/>
        </w:rPr>
        <w:t xml:space="preserve"> συμφωνία SAFA</w:t>
      </w:r>
      <w:r>
        <w:rPr>
          <w:rStyle w:val="a5"/>
          <w:lang w:val="el-GR"/>
        </w:rPr>
        <w:footnoteReference w:id="7"/>
      </w:r>
      <w:r>
        <w:rPr>
          <w:lang w:val="el-GR"/>
        </w:rPr>
        <w:t xml:space="preserve"> των </w:t>
      </w:r>
      <w:r>
        <w:t>LFC</w:t>
      </w:r>
      <w:r w:rsidRPr="00395DA7">
        <w:rPr>
          <w:lang w:val="el-GR"/>
        </w:rPr>
        <w:t xml:space="preserve"> </w:t>
      </w:r>
      <w:r>
        <w:t>Blocks</w:t>
      </w:r>
      <w:r w:rsidRPr="00395DA7">
        <w:rPr>
          <w:lang w:val="el-GR"/>
        </w:rPr>
        <w:t xml:space="preserve"> </w:t>
      </w:r>
      <w:r>
        <w:rPr>
          <w:lang w:val="el-GR"/>
        </w:rPr>
        <w:t xml:space="preserve">της </w:t>
      </w:r>
      <w:r>
        <w:t>CE</w:t>
      </w:r>
      <w:r w:rsidRPr="00B6314E">
        <w:rPr>
          <w:lang w:val="el-GR"/>
        </w:rPr>
        <w:t>.</w:t>
      </w:r>
    </w:p>
    <w:p w14:paraId="55343C8B" w14:textId="77777777" w:rsidR="004F5A62" w:rsidRPr="004F5A62" w:rsidRDefault="004F5A62" w:rsidP="00B6314E">
      <w:pPr>
        <w:jc w:val="both"/>
        <w:rPr>
          <w:lang w:val="el-GR"/>
        </w:rPr>
      </w:pPr>
      <w:r w:rsidRPr="00343214">
        <w:rPr>
          <w:rFonts w:ascii="Arial Black" w:hAnsi="Arial Black"/>
          <w:lang w:val="el-GR"/>
        </w:rPr>
        <w:t>4.1.</w:t>
      </w:r>
      <w:r w:rsidR="00F55BEB">
        <w:rPr>
          <w:rFonts w:ascii="Arial Black" w:hAnsi="Arial Black"/>
          <w:lang w:val="el-GR"/>
        </w:rPr>
        <w:t>4</w:t>
      </w:r>
      <w:r>
        <w:rPr>
          <w:lang w:val="el-GR"/>
        </w:rPr>
        <w:t xml:space="preserve"> </w:t>
      </w:r>
      <w:r w:rsidR="00EB06CA" w:rsidRPr="00EB06CA">
        <w:rPr>
          <w:lang w:val="el-GR"/>
        </w:rPr>
        <w:t xml:space="preserve"> </w:t>
      </w:r>
      <w:r>
        <w:rPr>
          <w:lang w:val="el-GR"/>
        </w:rPr>
        <w:t>Ο</w:t>
      </w:r>
      <w:r w:rsidRPr="00B6314E">
        <w:rPr>
          <w:lang w:val="el-GR"/>
        </w:rPr>
        <w:t xml:space="preserve"> διαχειριστής</w:t>
      </w:r>
      <w:r>
        <w:rPr>
          <w:lang w:val="el-GR"/>
        </w:rPr>
        <w:t xml:space="preserve"> του</w:t>
      </w:r>
      <w:r w:rsidRPr="00B6314E">
        <w:rPr>
          <w:lang w:val="el-GR"/>
        </w:rPr>
        <w:t xml:space="preserve"> ΕΣΜΗΕ θα αναφέρει στην ετήσια έκθεση του </w:t>
      </w:r>
      <w:r>
        <w:rPr>
          <w:lang w:val="el-GR"/>
        </w:rPr>
        <w:t xml:space="preserve">την τιμή </w:t>
      </w:r>
      <w:r w:rsidR="001229B7">
        <w:rPr>
          <w:lang w:val="el-GR"/>
        </w:rPr>
        <w:t xml:space="preserve">σε </w:t>
      </w:r>
      <w:r w:rsidR="001229B7">
        <w:t>MW</w:t>
      </w:r>
      <w:r w:rsidR="001229B7" w:rsidRPr="001229B7">
        <w:rPr>
          <w:lang w:val="el-GR"/>
        </w:rPr>
        <w:t xml:space="preserve">, </w:t>
      </w:r>
      <w:r>
        <w:rPr>
          <w:lang w:val="el-GR"/>
        </w:rPr>
        <w:t>για το 60%</w:t>
      </w:r>
      <w:r w:rsidR="00F55BEB" w:rsidRPr="00F55BEB">
        <w:rPr>
          <w:lang w:val="el-GR"/>
        </w:rPr>
        <w:t xml:space="preserve"> </w:t>
      </w:r>
      <w:r w:rsidR="00F55BEB">
        <w:rPr>
          <w:lang w:val="el-GR"/>
        </w:rPr>
        <w:t>και το 15%</w:t>
      </w:r>
      <w:r>
        <w:rPr>
          <w:lang w:val="el-GR"/>
        </w:rPr>
        <w:t xml:space="preserve"> της εφεδρικής δυναμικότητας της περιοχής ελέγχου του σε </w:t>
      </w:r>
      <w:r>
        <w:t>FRR</w:t>
      </w:r>
      <w:r w:rsidR="001229B7" w:rsidRPr="001229B7">
        <w:rPr>
          <w:lang w:val="el-GR"/>
        </w:rPr>
        <w:t>,</w:t>
      </w:r>
      <w:r w:rsidRPr="00BF4AE0">
        <w:rPr>
          <w:lang w:val="el-GR"/>
        </w:rPr>
        <w:t xml:space="preserve"> </w:t>
      </w:r>
      <w:r w:rsidR="00F55BEB">
        <w:rPr>
          <w:lang w:val="el-GR"/>
        </w:rPr>
        <w:t>για το</w:t>
      </w:r>
      <w:r>
        <w:rPr>
          <w:lang w:val="el-GR"/>
        </w:rPr>
        <w:t xml:space="preserve"> έτος αναφοράς.</w:t>
      </w:r>
    </w:p>
    <w:p w14:paraId="500395C3" w14:textId="77777777" w:rsidR="00C9519A" w:rsidRPr="00EB06CA" w:rsidRDefault="00343214" w:rsidP="00B6314E">
      <w:pPr>
        <w:jc w:val="both"/>
        <w:rPr>
          <w:lang w:val="el-GR"/>
        </w:rPr>
      </w:pPr>
      <w:r w:rsidRPr="00343214">
        <w:rPr>
          <w:rFonts w:ascii="Arial Black" w:hAnsi="Arial Black"/>
          <w:lang w:val="el-GR"/>
        </w:rPr>
        <w:t>4.1.</w:t>
      </w:r>
      <w:r w:rsidR="00F55BEB">
        <w:rPr>
          <w:rFonts w:ascii="Arial Black" w:hAnsi="Arial Black"/>
          <w:lang w:val="el-GR"/>
        </w:rPr>
        <w:t>5</w:t>
      </w:r>
      <w:r>
        <w:rPr>
          <w:lang w:val="el-GR"/>
        </w:rPr>
        <w:t xml:space="preserve"> </w:t>
      </w:r>
      <w:r w:rsidR="00EB06CA" w:rsidRPr="00EB06CA">
        <w:rPr>
          <w:lang w:val="el-GR"/>
        </w:rPr>
        <w:t xml:space="preserve"> </w:t>
      </w:r>
      <w:r w:rsidR="00C9519A" w:rsidRPr="00EB06CA">
        <w:rPr>
          <w:b/>
          <w:lang w:val="el-GR"/>
        </w:rPr>
        <w:t xml:space="preserve">Ο </w:t>
      </w:r>
      <w:r w:rsidR="00EB06CA">
        <w:rPr>
          <w:b/>
          <w:lang w:val="el-GR"/>
        </w:rPr>
        <w:t>Διαχειριστής</w:t>
      </w:r>
      <w:r w:rsidR="00C9519A" w:rsidRPr="00EB06CA">
        <w:rPr>
          <w:b/>
          <w:lang w:val="el-GR"/>
        </w:rPr>
        <w:t xml:space="preserve"> θα περιλαμβάνει στην ετήσια έκθεση του τα ακόλουθα στοιχεία, όπως τα υποβάλει κάθε χρόνο έως την 1</w:t>
      </w:r>
      <w:r w:rsidR="00C9519A" w:rsidRPr="00EB06CA">
        <w:rPr>
          <w:b/>
          <w:vertAlign w:val="superscript"/>
          <w:lang w:val="el-GR"/>
        </w:rPr>
        <w:t>η</w:t>
      </w:r>
      <w:r w:rsidR="00C9519A" w:rsidRPr="00EB06CA">
        <w:rPr>
          <w:b/>
          <w:lang w:val="el-GR"/>
        </w:rPr>
        <w:t xml:space="preserve">  Μαρτίου στον </w:t>
      </w:r>
      <w:r w:rsidR="00C9519A" w:rsidRPr="00EB06CA">
        <w:rPr>
          <w:b/>
        </w:rPr>
        <w:t>ENTSOE</w:t>
      </w:r>
      <w:r w:rsidR="00C9519A" w:rsidRPr="00EB06CA">
        <w:rPr>
          <w:b/>
          <w:lang w:val="el-GR"/>
        </w:rPr>
        <w:t>-</w:t>
      </w:r>
      <w:r w:rsidR="00C9519A" w:rsidRPr="00EB06CA">
        <w:rPr>
          <w:b/>
        </w:rPr>
        <w:t>E</w:t>
      </w:r>
      <w:r w:rsidR="00C9519A" w:rsidRPr="00EB06CA">
        <w:rPr>
          <w:rStyle w:val="a5"/>
          <w:b/>
          <w:lang w:val="el-GR"/>
        </w:rPr>
        <w:footnoteReference w:id="8"/>
      </w:r>
      <w:r w:rsidR="00C9519A" w:rsidRPr="00EB06CA">
        <w:rPr>
          <w:b/>
          <w:lang w:val="el-GR"/>
        </w:rPr>
        <w:t>:</w:t>
      </w:r>
      <w:r w:rsidR="00C9519A" w:rsidRPr="00C9519A">
        <w:rPr>
          <w:lang w:val="el-GR"/>
        </w:rPr>
        <w:t xml:space="preserve"> </w:t>
      </w:r>
    </w:p>
    <w:p w14:paraId="34952E96" w14:textId="7E8E2065" w:rsidR="00B6314E" w:rsidRPr="00395DA7" w:rsidRDefault="00C9519A" w:rsidP="00B6314E">
      <w:pPr>
        <w:jc w:val="both"/>
        <w:rPr>
          <w:lang w:val="el-GR"/>
        </w:rPr>
      </w:pPr>
      <w:r>
        <w:sym w:font="Wingdings" w:char="F0E0"/>
      </w:r>
      <w:r w:rsidRPr="00C9519A">
        <w:rPr>
          <w:lang w:val="el-GR"/>
        </w:rPr>
        <w:t xml:space="preserve"> </w:t>
      </w:r>
      <w:r w:rsidR="00B6314E" w:rsidRPr="00B6314E">
        <w:rPr>
          <w:lang w:val="el-GR"/>
        </w:rPr>
        <w:t xml:space="preserve">Από ένα σύνολο </w:t>
      </w:r>
      <w:r w:rsidR="008D7B6E">
        <w:rPr>
          <w:lang w:val="el-GR"/>
        </w:rPr>
        <w:t>τιμών</w:t>
      </w:r>
      <w:r w:rsidR="00B6314E" w:rsidRPr="00B6314E">
        <w:rPr>
          <w:lang w:val="el-GR"/>
        </w:rPr>
        <w:t xml:space="preserve"> που περιλαμβάνει όλες τις 15λεπτες μέσες τιμές FRCE</w:t>
      </w:r>
      <w:r w:rsidR="008D7B6E">
        <w:rPr>
          <w:lang w:val="el-GR"/>
        </w:rPr>
        <w:t xml:space="preserve"> ανά μήνα</w:t>
      </w:r>
      <w:r w:rsidR="00B6314E" w:rsidRPr="00B6314E">
        <w:rPr>
          <w:lang w:val="el-GR"/>
        </w:rPr>
        <w:t>,</w:t>
      </w:r>
      <w:r w:rsidR="000E4D9A" w:rsidRPr="000E4D9A">
        <w:rPr>
          <w:lang w:val="el-GR"/>
        </w:rPr>
        <w:t xml:space="preserve"> </w:t>
      </w:r>
      <w:r w:rsidR="008D7B6E">
        <w:rPr>
          <w:lang w:val="el-GR"/>
        </w:rPr>
        <w:t xml:space="preserve">που </w:t>
      </w:r>
      <w:r w:rsidR="006453BE">
        <w:rPr>
          <w:lang w:val="el-GR"/>
        </w:rPr>
        <w:t>υπολογίζονται</w:t>
      </w:r>
      <w:r w:rsidR="008D7B6E">
        <w:rPr>
          <w:lang w:val="el-GR"/>
        </w:rPr>
        <w:t xml:space="preserve"> μέσω δεδομένων που λαμβάνει ο Διαχειριστής από </w:t>
      </w:r>
      <w:r w:rsidR="0009743D">
        <w:rPr>
          <w:lang w:val="el-GR"/>
        </w:rPr>
        <w:t>συστήματα τλεμετρήσεων</w:t>
      </w:r>
      <w:r w:rsidR="008D7B6E">
        <w:rPr>
          <w:lang w:val="el-GR"/>
        </w:rPr>
        <w:t xml:space="preserve"> (με κύκλο 4 </w:t>
      </w:r>
      <w:r w:rsidR="008D7B6E">
        <w:t>sec</w:t>
      </w:r>
      <w:r w:rsidR="008D7B6E">
        <w:rPr>
          <w:lang w:val="el-GR"/>
        </w:rPr>
        <w:t>)</w:t>
      </w:r>
      <w:r w:rsidR="006453BE">
        <w:rPr>
          <w:lang w:val="el-GR"/>
        </w:rPr>
        <w:t xml:space="preserve"> σε κατά τόπους Υποσταθμούς</w:t>
      </w:r>
      <w:r w:rsidR="000E4D9A" w:rsidRPr="000E4D9A">
        <w:rPr>
          <w:lang w:val="el-GR"/>
        </w:rPr>
        <w:t>,</w:t>
      </w:r>
      <w:r w:rsidR="00B6314E" w:rsidRPr="00B6314E">
        <w:rPr>
          <w:lang w:val="el-GR"/>
        </w:rPr>
        <w:t xml:space="preserve"> ο Διαχειριστής</w:t>
      </w:r>
      <w:r w:rsidR="001229B7">
        <w:rPr>
          <w:lang w:val="el-GR"/>
        </w:rPr>
        <w:t xml:space="preserve"> θα</w:t>
      </w:r>
      <w:r w:rsidR="00B6314E" w:rsidRPr="00B6314E">
        <w:rPr>
          <w:lang w:val="el-GR"/>
        </w:rPr>
        <w:t xml:space="preserve"> αναπ</w:t>
      </w:r>
      <w:r w:rsidR="00B6314E">
        <w:rPr>
          <w:lang w:val="el-GR"/>
        </w:rPr>
        <w:t>αριστά γραφικά στην έκθεση του</w:t>
      </w:r>
      <w:r w:rsidR="00395DA7" w:rsidRPr="00395DA7">
        <w:rPr>
          <w:lang w:val="el-GR"/>
        </w:rPr>
        <w:t xml:space="preserve">, </w:t>
      </w:r>
      <w:r w:rsidR="00395DA7" w:rsidRPr="000E4D9A">
        <w:rPr>
          <w:u w:val="single"/>
          <w:lang w:val="el-GR"/>
        </w:rPr>
        <w:t>γ</w:t>
      </w:r>
      <w:r w:rsidR="00B6314E" w:rsidRPr="000E4D9A">
        <w:rPr>
          <w:u w:val="single"/>
          <w:lang w:val="el-GR"/>
        </w:rPr>
        <w:t xml:space="preserve">ια </w:t>
      </w:r>
      <w:r w:rsidR="00395DA7" w:rsidRPr="000E4D9A">
        <w:rPr>
          <w:u w:val="single"/>
          <w:lang w:val="el-GR"/>
        </w:rPr>
        <w:t>κάθε</w:t>
      </w:r>
      <w:r w:rsidR="00B6314E" w:rsidRPr="000E4D9A">
        <w:rPr>
          <w:u w:val="single"/>
          <w:lang w:val="el-GR"/>
        </w:rPr>
        <w:t xml:space="preserve"> </w:t>
      </w:r>
      <w:r w:rsidR="00395DA7" w:rsidRPr="000E4D9A">
        <w:rPr>
          <w:u w:val="single"/>
          <w:lang w:val="el-GR"/>
        </w:rPr>
        <w:t>μήνα</w:t>
      </w:r>
      <w:r w:rsidR="00B6314E" w:rsidRPr="000E4D9A">
        <w:rPr>
          <w:u w:val="single"/>
          <w:lang w:val="el-GR"/>
        </w:rPr>
        <w:t xml:space="preserve"> του έτους αναφοράς και σε αντιδιαστολή με τον αντίστοιχο </w:t>
      </w:r>
      <w:r w:rsidR="004F5A62" w:rsidRPr="000E4D9A">
        <w:rPr>
          <w:u w:val="single"/>
          <w:lang w:val="el-GR"/>
        </w:rPr>
        <w:t>μήνα</w:t>
      </w:r>
      <w:r w:rsidR="00B6314E" w:rsidRPr="000E4D9A">
        <w:rPr>
          <w:u w:val="single"/>
          <w:lang w:val="el-GR"/>
        </w:rPr>
        <w:t xml:space="preserve"> του προηγούμενου έτους</w:t>
      </w:r>
      <w:r w:rsidR="00395DA7" w:rsidRPr="00395DA7">
        <w:rPr>
          <w:lang w:val="el-GR"/>
        </w:rPr>
        <w:t>:</w:t>
      </w:r>
    </w:p>
    <w:p w14:paraId="5A28F4AD" w14:textId="77777777" w:rsidR="00395DA7" w:rsidRDefault="00395DA7" w:rsidP="00395DA7">
      <w:pPr>
        <w:pStyle w:val="a3"/>
        <w:numPr>
          <w:ilvl w:val="0"/>
          <w:numId w:val="17"/>
        </w:numPr>
        <w:spacing w:line="240" w:lineRule="auto"/>
        <w:jc w:val="both"/>
        <w:rPr>
          <w:lang w:val="el-GR"/>
        </w:rPr>
      </w:pPr>
      <w:r>
        <w:rPr>
          <w:lang w:val="el-GR"/>
        </w:rPr>
        <w:t>Τη μέση τιμή</w:t>
      </w:r>
      <w:r w:rsidR="000E4D9A">
        <w:rPr>
          <w:lang w:val="el-GR"/>
        </w:rPr>
        <w:t xml:space="preserve"> </w:t>
      </w:r>
      <w:r w:rsidR="006453BE">
        <w:rPr>
          <w:lang w:val="el-GR"/>
        </w:rPr>
        <w:t xml:space="preserve">του συνόλου των </w:t>
      </w:r>
      <w:r w:rsidR="000E4D9A">
        <w:rPr>
          <w:lang w:val="el-GR"/>
        </w:rPr>
        <w:t xml:space="preserve">15λεπτων μέσων τιμών </w:t>
      </w:r>
      <w:r w:rsidR="000E4D9A">
        <w:t>FRCE</w:t>
      </w:r>
      <w:r>
        <w:rPr>
          <w:lang w:val="el-GR"/>
        </w:rPr>
        <w:t>,</w:t>
      </w:r>
    </w:p>
    <w:p w14:paraId="703F75EC" w14:textId="77777777" w:rsidR="00395DA7" w:rsidRDefault="00395DA7" w:rsidP="00395DA7">
      <w:pPr>
        <w:pStyle w:val="a3"/>
        <w:numPr>
          <w:ilvl w:val="0"/>
          <w:numId w:val="17"/>
        </w:numPr>
        <w:spacing w:line="240" w:lineRule="auto"/>
        <w:jc w:val="both"/>
        <w:rPr>
          <w:lang w:val="el-GR"/>
        </w:rPr>
      </w:pPr>
      <w:r>
        <w:rPr>
          <w:lang w:val="el-GR"/>
        </w:rPr>
        <w:t>Την τυπική απόκλιση</w:t>
      </w:r>
      <w:r w:rsidR="000E4D9A" w:rsidRPr="000E4D9A">
        <w:rPr>
          <w:lang w:val="el-GR"/>
        </w:rPr>
        <w:t xml:space="preserve"> (</w:t>
      </w:r>
      <w:r w:rsidR="000E4D9A">
        <w:t>standard</w:t>
      </w:r>
      <w:r w:rsidR="000E4D9A" w:rsidRPr="000E4D9A">
        <w:rPr>
          <w:lang w:val="el-GR"/>
        </w:rPr>
        <w:t xml:space="preserve"> </w:t>
      </w:r>
      <w:r w:rsidR="000E4D9A">
        <w:t>deviation</w:t>
      </w:r>
      <w:r w:rsidR="000E4D9A" w:rsidRPr="000E4D9A">
        <w:rPr>
          <w:lang w:val="el-GR"/>
        </w:rPr>
        <w:t xml:space="preserve">) </w:t>
      </w:r>
      <w:r w:rsidR="006453BE">
        <w:rPr>
          <w:lang w:val="el-GR"/>
        </w:rPr>
        <w:t>του συνόλου</w:t>
      </w:r>
      <w:r w:rsidR="004F5A62">
        <w:rPr>
          <w:lang w:val="el-GR"/>
        </w:rPr>
        <w:t xml:space="preserve"> </w:t>
      </w:r>
      <w:r w:rsidR="000E4D9A">
        <w:rPr>
          <w:lang w:val="el-GR"/>
        </w:rPr>
        <w:t xml:space="preserve">των 15λεπτων μέσων τιμών </w:t>
      </w:r>
      <w:r w:rsidR="000E4D9A">
        <w:t>FRCE</w:t>
      </w:r>
      <w:r>
        <w:rPr>
          <w:lang w:val="el-GR"/>
        </w:rPr>
        <w:t>,</w:t>
      </w:r>
    </w:p>
    <w:p w14:paraId="4D9BE036" w14:textId="77777777" w:rsidR="00395DA7" w:rsidRDefault="00395DA7" w:rsidP="00395DA7">
      <w:pPr>
        <w:pStyle w:val="a3"/>
        <w:numPr>
          <w:ilvl w:val="0"/>
          <w:numId w:val="17"/>
        </w:numPr>
        <w:spacing w:line="240" w:lineRule="auto"/>
        <w:jc w:val="both"/>
        <w:rPr>
          <w:lang w:val="el-GR"/>
        </w:rPr>
      </w:pPr>
      <w:r>
        <w:rPr>
          <w:lang w:val="el-GR"/>
        </w:rPr>
        <w:t>Τ</w:t>
      </w:r>
      <w:r w:rsidRPr="000E4D9A">
        <w:rPr>
          <w:lang w:val="el-GR"/>
        </w:rPr>
        <w:t>ο 1-, 5-, 10-, 90-, 95- και 99ό εκατοστημόριο</w:t>
      </w:r>
      <w:r w:rsidR="000E4D9A" w:rsidRPr="000E4D9A">
        <w:rPr>
          <w:lang w:val="el-GR"/>
        </w:rPr>
        <w:t xml:space="preserve"> </w:t>
      </w:r>
      <w:r w:rsidR="006453BE">
        <w:rPr>
          <w:lang w:val="el-GR"/>
        </w:rPr>
        <w:t>του συνόλου των</w:t>
      </w:r>
      <w:r w:rsidR="000E4D9A">
        <w:rPr>
          <w:lang w:val="el-GR"/>
        </w:rPr>
        <w:t xml:space="preserve"> 15λεπτων μέσων τιμών </w:t>
      </w:r>
      <w:r w:rsidR="000E4D9A">
        <w:t>FRCE</w:t>
      </w:r>
      <w:r w:rsidR="000E4D9A" w:rsidRPr="000E4D9A">
        <w:rPr>
          <w:lang w:val="el-GR"/>
        </w:rPr>
        <w:t xml:space="preserve"> (</w:t>
      </w:r>
      <w:r w:rsidR="000E4D9A">
        <w:t>percentiles</w:t>
      </w:r>
      <w:r w:rsidR="000E4D9A" w:rsidRPr="004F5A62">
        <w:rPr>
          <w:lang w:val="el-GR"/>
        </w:rPr>
        <w:t>)</w:t>
      </w:r>
      <w:r>
        <w:rPr>
          <w:lang w:val="el-GR"/>
        </w:rPr>
        <w:t>,</w:t>
      </w:r>
    </w:p>
    <w:p w14:paraId="6FF54CA8" w14:textId="77777777" w:rsidR="00395DA7" w:rsidRPr="008D03A1" w:rsidRDefault="00395DA7" w:rsidP="00395DA7">
      <w:pPr>
        <w:pStyle w:val="a3"/>
        <w:numPr>
          <w:ilvl w:val="0"/>
          <w:numId w:val="17"/>
        </w:numPr>
        <w:spacing w:line="240" w:lineRule="auto"/>
        <w:jc w:val="both"/>
        <w:rPr>
          <w:lang w:val="el-GR"/>
        </w:rPr>
      </w:pPr>
      <w:r>
        <w:rPr>
          <w:lang w:val="el-GR"/>
        </w:rPr>
        <w:t>Τον αριθμό</w:t>
      </w:r>
      <w:r w:rsidRPr="005D1911">
        <w:rPr>
          <w:lang w:val="el-GR"/>
        </w:rPr>
        <w:t xml:space="preserve"> των χρονικών διαστημάτων </w:t>
      </w:r>
      <w:r>
        <w:rPr>
          <w:lang w:val="el-GR"/>
        </w:rPr>
        <w:t xml:space="preserve">σε μηνιαία βάση </w:t>
      </w:r>
      <w:r w:rsidRPr="005D1911">
        <w:rPr>
          <w:lang w:val="el-GR"/>
        </w:rPr>
        <w:t xml:space="preserve">κατά τα </w:t>
      </w:r>
      <w:r w:rsidRPr="005D1911">
        <w:rPr>
          <w:b/>
          <w:bCs/>
          <w:lang w:val="el-GR"/>
        </w:rPr>
        <w:t xml:space="preserve">οποία η 15λεπτη μέση τιμή του </w:t>
      </w:r>
      <w:r w:rsidRPr="005D1911">
        <w:rPr>
          <w:b/>
          <w:bCs/>
        </w:rPr>
        <w:t>FRCE</w:t>
      </w:r>
      <w:r w:rsidRPr="005D1911">
        <w:rPr>
          <w:b/>
          <w:bCs/>
          <w:lang w:val="el-GR"/>
        </w:rPr>
        <w:t xml:space="preserve"> ήταν εκτός της περιοχής </w:t>
      </w:r>
      <w:r w:rsidRPr="005D1911">
        <w:rPr>
          <w:b/>
          <w:bCs/>
        </w:rPr>
        <w:t>FRCE</w:t>
      </w:r>
      <w:r w:rsidRPr="005D1911">
        <w:rPr>
          <w:b/>
          <w:bCs/>
          <w:lang w:val="el-GR"/>
        </w:rPr>
        <w:t xml:space="preserve"> </w:t>
      </w:r>
      <w:r>
        <w:rPr>
          <w:b/>
          <w:bCs/>
        </w:rPr>
        <w:t>L</w:t>
      </w:r>
      <w:r w:rsidR="004F5A62">
        <w:rPr>
          <w:b/>
          <w:bCs/>
        </w:rPr>
        <w:t>evel</w:t>
      </w:r>
      <w:r w:rsidRPr="005D1911">
        <w:rPr>
          <w:b/>
          <w:bCs/>
          <w:lang w:val="el-GR"/>
        </w:rPr>
        <w:t xml:space="preserve"> 1</w:t>
      </w:r>
      <w:r w:rsidR="00F55BEB">
        <w:rPr>
          <w:b/>
          <w:bCs/>
          <w:lang w:val="el-GR"/>
        </w:rPr>
        <w:t xml:space="preserve"> </w:t>
      </w:r>
      <w:r w:rsidR="00F55BEB" w:rsidRPr="00F55BEB">
        <w:rPr>
          <w:lang w:val="el-GR"/>
        </w:rPr>
        <w:t>(δες 4.1.3)</w:t>
      </w:r>
      <w:r w:rsidRPr="00F55BEB">
        <w:rPr>
          <w:lang w:val="el-GR"/>
        </w:rPr>
        <w:t>,</w:t>
      </w:r>
      <w:r w:rsidRPr="005D1911">
        <w:rPr>
          <w:lang w:val="el-GR"/>
        </w:rPr>
        <w:t xml:space="preserve"> με διάκριση μεταξύ αρνητικού και θετικού </w:t>
      </w:r>
      <w:r>
        <w:t>FRCE</w:t>
      </w:r>
      <w:r>
        <w:rPr>
          <w:lang w:val="el-GR"/>
        </w:rPr>
        <w:t>,</w:t>
      </w:r>
    </w:p>
    <w:p w14:paraId="308ACF74" w14:textId="77777777" w:rsidR="00395DA7" w:rsidRPr="00016CE3" w:rsidRDefault="00395DA7" w:rsidP="00395DA7">
      <w:pPr>
        <w:pStyle w:val="a3"/>
        <w:numPr>
          <w:ilvl w:val="0"/>
          <w:numId w:val="17"/>
        </w:numPr>
        <w:spacing w:line="240" w:lineRule="auto"/>
        <w:jc w:val="both"/>
        <w:rPr>
          <w:iCs/>
          <w:lang w:val="el-GR"/>
        </w:rPr>
      </w:pPr>
      <w:r w:rsidRPr="005D1911">
        <w:rPr>
          <w:lang w:val="el-GR"/>
        </w:rPr>
        <w:t xml:space="preserve">Ο αριθμός των χρονικών διαστημάτων </w:t>
      </w:r>
      <w:r>
        <w:rPr>
          <w:lang w:val="el-GR"/>
        </w:rPr>
        <w:t xml:space="preserve">σε μηνιαία βάση </w:t>
      </w:r>
      <w:r w:rsidRPr="005D1911">
        <w:rPr>
          <w:lang w:val="el-GR"/>
        </w:rPr>
        <w:t xml:space="preserve">κατά τα </w:t>
      </w:r>
      <w:r w:rsidRPr="005D1911">
        <w:rPr>
          <w:b/>
          <w:bCs/>
          <w:lang w:val="el-GR"/>
        </w:rPr>
        <w:t xml:space="preserve">οποία η 15λεπτη μέση τιμή του </w:t>
      </w:r>
      <w:r w:rsidRPr="005D1911">
        <w:rPr>
          <w:b/>
          <w:bCs/>
        </w:rPr>
        <w:t>FRCE</w:t>
      </w:r>
      <w:r w:rsidRPr="005D1911">
        <w:rPr>
          <w:b/>
          <w:bCs/>
          <w:lang w:val="el-GR"/>
        </w:rPr>
        <w:t xml:space="preserve"> ήταν εκτός της περιοχής </w:t>
      </w:r>
      <w:r w:rsidRPr="005D1911">
        <w:rPr>
          <w:b/>
          <w:bCs/>
        </w:rPr>
        <w:t>FRCE</w:t>
      </w:r>
      <w:r w:rsidRPr="005D1911">
        <w:rPr>
          <w:b/>
          <w:bCs/>
          <w:lang w:val="el-GR"/>
        </w:rPr>
        <w:t xml:space="preserve"> </w:t>
      </w:r>
      <w:r>
        <w:rPr>
          <w:b/>
          <w:bCs/>
        </w:rPr>
        <w:t>L</w:t>
      </w:r>
      <w:r w:rsidR="004F5A62">
        <w:rPr>
          <w:b/>
          <w:bCs/>
        </w:rPr>
        <w:t>evel</w:t>
      </w:r>
      <w:r w:rsidRPr="005D1911">
        <w:rPr>
          <w:b/>
          <w:bCs/>
          <w:lang w:val="el-GR"/>
        </w:rPr>
        <w:t xml:space="preserve"> 2</w:t>
      </w:r>
      <w:r w:rsidR="00F55BEB">
        <w:rPr>
          <w:b/>
          <w:bCs/>
          <w:lang w:val="el-GR"/>
        </w:rPr>
        <w:t xml:space="preserve"> </w:t>
      </w:r>
      <w:r w:rsidR="00F55BEB" w:rsidRPr="00F55BEB">
        <w:rPr>
          <w:lang w:val="el-GR"/>
        </w:rPr>
        <w:t>(δες 4.1.3)</w:t>
      </w:r>
      <w:r w:rsidRPr="00F55BEB">
        <w:rPr>
          <w:lang w:val="el-GR"/>
        </w:rPr>
        <w:t>,</w:t>
      </w:r>
      <w:r w:rsidRPr="005D1911">
        <w:rPr>
          <w:lang w:val="el-GR"/>
        </w:rPr>
        <w:t xml:space="preserve"> με διάκριση μεταξύ αρνητικού και θετικού </w:t>
      </w:r>
      <w:r>
        <w:t>FRCE</w:t>
      </w:r>
      <w:r>
        <w:rPr>
          <w:lang w:val="el-GR"/>
        </w:rPr>
        <w:t>,</w:t>
      </w:r>
    </w:p>
    <w:p w14:paraId="584569E2" w14:textId="77777777" w:rsidR="00395DA7" w:rsidRPr="00395DA7" w:rsidRDefault="00395DA7" w:rsidP="00B6314E">
      <w:pPr>
        <w:pStyle w:val="a3"/>
        <w:numPr>
          <w:ilvl w:val="0"/>
          <w:numId w:val="17"/>
        </w:numPr>
        <w:spacing w:line="240" w:lineRule="auto"/>
        <w:jc w:val="both"/>
        <w:rPr>
          <w:iCs/>
          <w:lang w:val="el-GR"/>
        </w:rPr>
      </w:pPr>
      <w:r w:rsidRPr="00016CE3">
        <w:rPr>
          <w:lang w:val="el-GR"/>
        </w:rPr>
        <w:t xml:space="preserve">Τον </w:t>
      </w:r>
      <w:r w:rsidRPr="00016CE3">
        <w:rPr>
          <w:iCs/>
          <w:lang w:val="el-GR"/>
        </w:rPr>
        <w:t>αριθμό συμβάντων σε μηνιαία βά</w:t>
      </w:r>
      <w:r w:rsidR="00C92188">
        <w:rPr>
          <w:iCs/>
          <w:lang w:val="el-GR"/>
        </w:rPr>
        <w:t xml:space="preserve">ση για τα οποία </w:t>
      </w:r>
      <w:r w:rsidR="00C92188" w:rsidRPr="00F55BEB">
        <w:rPr>
          <w:b/>
          <w:bCs/>
          <w:iCs/>
          <w:lang w:val="el-GR"/>
        </w:rPr>
        <w:t xml:space="preserve">η μέση τιμή του </w:t>
      </w:r>
      <w:r w:rsidRPr="00F55BEB">
        <w:rPr>
          <w:b/>
          <w:bCs/>
          <w:iCs/>
        </w:rPr>
        <w:t>FRCE</w:t>
      </w:r>
      <w:r w:rsidRPr="00F55BEB">
        <w:rPr>
          <w:b/>
          <w:bCs/>
          <w:iCs/>
          <w:lang w:val="el-GR"/>
        </w:rPr>
        <w:t xml:space="preserve"> σε χρονικό διάστημα ενός (1) λεπτού υπερέβη το 60 %</w:t>
      </w:r>
      <w:r w:rsidR="00F55BEB">
        <w:rPr>
          <w:iCs/>
          <w:lang w:val="el-GR"/>
        </w:rPr>
        <w:t xml:space="preserve"> (δες 4.1.4)</w:t>
      </w:r>
      <w:r w:rsidRPr="00016CE3">
        <w:rPr>
          <w:iCs/>
          <w:lang w:val="el-GR"/>
        </w:rPr>
        <w:t xml:space="preserve"> </w:t>
      </w:r>
      <w:r w:rsidRPr="00F55BEB">
        <w:rPr>
          <w:b/>
          <w:bCs/>
          <w:iCs/>
          <w:lang w:val="el-GR"/>
        </w:rPr>
        <w:t>της εφεδρικής δυναμικότητας</w:t>
      </w:r>
      <w:r w:rsidR="00C92188" w:rsidRPr="00F55BEB">
        <w:rPr>
          <w:b/>
          <w:bCs/>
          <w:iCs/>
          <w:lang w:val="el-GR"/>
        </w:rPr>
        <w:t xml:space="preserve"> της περιοχής ελέγχου του </w:t>
      </w:r>
      <w:r w:rsidRPr="00F55BEB">
        <w:rPr>
          <w:b/>
          <w:bCs/>
          <w:iCs/>
          <w:lang w:val="el-GR"/>
        </w:rPr>
        <w:t xml:space="preserve">σε </w:t>
      </w:r>
      <w:r w:rsidRPr="00F55BEB">
        <w:rPr>
          <w:b/>
          <w:bCs/>
          <w:iCs/>
        </w:rPr>
        <w:t>FRR</w:t>
      </w:r>
      <w:r w:rsidRPr="00F55BEB">
        <w:rPr>
          <w:b/>
          <w:bCs/>
          <w:iCs/>
          <w:lang w:val="el-GR"/>
        </w:rPr>
        <w:t xml:space="preserve"> και δεν επανήλθε στο 15 % της εφεδρικής δυναμικότητας σε </w:t>
      </w:r>
      <w:r w:rsidRPr="00F55BEB">
        <w:rPr>
          <w:b/>
          <w:bCs/>
          <w:iCs/>
        </w:rPr>
        <w:t>FRR</w:t>
      </w:r>
      <w:r w:rsidRPr="00016CE3">
        <w:rPr>
          <w:iCs/>
          <w:lang w:val="el-GR"/>
        </w:rPr>
        <w:t xml:space="preserve"> </w:t>
      </w:r>
      <w:r w:rsidR="00F55BEB">
        <w:rPr>
          <w:iCs/>
          <w:lang w:val="el-GR"/>
        </w:rPr>
        <w:t xml:space="preserve">(δες 4.1.4) </w:t>
      </w:r>
      <w:r w:rsidRPr="00016CE3">
        <w:rPr>
          <w:iCs/>
          <w:lang w:val="el-GR"/>
        </w:rPr>
        <w:t xml:space="preserve">εντός του χρόνου για την αποκατάσταση της συχνότητας </w:t>
      </w:r>
      <w:r w:rsidR="00C92188">
        <w:rPr>
          <w:b/>
          <w:bCs/>
          <w:lang w:val="el-GR"/>
        </w:rPr>
        <w:t>(</w:t>
      </w:r>
      <w:r w:rsidR="00C92188" w:rsidRPr="00C92188">
        <w:rPr>
          <w:b/>
          <w:bCs/>
          <w:lang w:val="el-GR"/>
        </w:rPr>
        <w:sym w:font="Wingdings" w:char="F0E0"/>
      </w:r>
      <w:r w:rsidRPr="00016CE3">
        <w:rPr>
          <w:b/>
          <w:bCs/>
          <w:lang w:val="el-GR"/>
        </w:rPr>
        <w:t>15 λεπτά)</w:t>
      </w:r>
      <w:r w:rsidRPr="00016CE3">
        <w:rPr>
          <w:iCs/>
          <w:lang w:val="el-GR"/>
        </w:rPr>
        <w:t>, με διάκριση μεταξύ αρνητικού</w:t>
      </w:r>
      <w:r w:rsidRPr="00395DA7">
        <w:rPr>
          <w:iCs/>
          <w:lang w:val="el-GR"/>
        </w:rPr>
        <w:t xml:space="preserve"> </w:t>
      </w:r>
      <w:r w:rsidRPr="00016CE3">
        <w:rPr>
          <w:iCs/>
          <w:lang w:val="el-GR"/>
        </w:rPr>
        <w:t xml:space="preserve">και θετικού </w:t>
      </w:r>
      <w:r w:rsidRPr="00016CE3">
        <w:rPr>
          <w:iCs/>
        </w:rPr>
        <w:t>FRCE</w:t>
      </w:r>
      <w:r w:rsidRPr="00016CE3">
        <w:rPr>
          <w:lang w:val="el-GR"/>
        </w:rPr>
        <w:t xml:space="preserve">. </w:t>
      </w:r>
    </w:p>
    <w:p w14:paraId="79FBEDA5" w14:textId="77777777" w:rsidR="00D16D21" w:rsidRDefault="00343214" w:rsidP="00F55BEB">
      <w:pPr>
        <w:jc w:val="both"/>
        <w:rPr>
          <w:lang w:val="el-GR"/>
        </w:rPr>
      </w:pPr>
      <w:r w:rsidRPr="00343214">
        <w:rPr>
          <w:rFonts w:ascii="Arial Black" w:hAnsi="Arial Black"/>
          <w:lang w:val="el-GR"/>
        </w:rPr>
        <w:t>4.1.</w:t>
      </w:r>
      <w:r w:rsidR="005257CC">
        <w:rPr>
          <w:rFonts w:ascii="Arial Black" w:hAnsi="Arial Black"/>
          <w:lang w:val="el-GR"/>
        </w:rPr>
        <w:t>6</w:t>
      </w:r>
      <w:r>
        <w:rPr>
          <w:lang w:val="el-GR"/>
        </w:rPr>
        <w:t xml:space="preserve"> </w:t>
      </w:r>
      <w:r w:rsidR="00F05DEE">
        <w:rPr>
          <w:lang w:val="el-GR"/>
        </w:rPr>
        <w:t xml:space="preserve">Σημειώνεται πως σύμφωνα με τον Κανονισμό </w:t>
      </w:r>
      <w:r w:rsidR="00F05DEE">
        <w:t>SOGL</w:t>
      </w:r>
      <w:r w:rsidR="00F05DEE" w:rsidRPr="00F05DEE">
        <w:rPr>
          <w:lang w:val="el-GR"/>
        </w:rPr>
        <w:t xml:space="preserve">, </w:t>
      </w:r>
      <w:bookmarkStart w:id="7" w:name="_Hlk100744323"/>
      <w:r w:rsidR="00F05DEE">
        <w:rPr>
          <w:lang w:val="el-GR"/>
        </w:rPr>
        <w:t>σ</w:t>
      </w:r>
      <w:r w:rsidR="00907F28" w:rsidRPr="00FD0AAC">
        <w:rPr>
          <w:lang w:val="el-GR"/>
        </w:rPr>
        <w:t xml:space="preserve">ε περίπτωση εφαρμογής </w:t>
      </w:r>
      <w:r w:rsidR="00673F05">
        <w:rPr>
          <w:lang w:val="el-GR"/>
        </w:rPr>
        <w:t>δ</w:t>
      </w:r>
      <w:r w:rsidR="00673F05" w:rsidRPr="00673F05">
        <w:rPr>
          <w:lang w:val="el-GR"/>
        </w:rPr>
        <w:t>ιαδικασία</w:t>
      </w:r>
      <w:r w:rsidR="00673F05">
        <w:rPr>
          <w:lang w:val="el-GR"/>
        </w:rPr>
        <w:t>ς</w:t>
      </w:r>
      <w:r w:rsidR="00673F05" w:rsidRPr="00673F05">
        <w:rPr>
          <w:lang w:val="el-GR"/>
        </w:rPr>
        <w:t xml:space="preserve"> εκκαθάρισης ανισορροπίας ισοζυγίου</w:t>
      </w:r>
      <w:r w:rsidR="00673F05">
        <w:rPr>
          <w:lang w:val="el-GR"/>
        </w:rPr>
        <w:t xml:space="preserve"> </w:t>
      </w:r>
      <w:r w:rsidR="00673F05" w:rsidRPr="00673F05">
        <w:rPr>
          <w:lang w:val="el-GR"/>
        </w:rPr>
        <w:t>(</w:t>
      </w:r>
      <w:r w:rsidR="00673F05">
        <w:t>Imbalance</w:t>
      </w:r>
      <w:r w:rsidR="00673F05" w:rsidRPr="00673F05">
        <w:rPr>
          <w:lang w:val="el-GR"/>
        </w:rPr>
        <w:t xml:space="preserve"> </w:t>
      </w:r>
      <w:r w:rsidR="00673F05">
        <w:t>Netting</w:t>
      </w:r>
      <w:r w:rsidR="00673F05" w:rsidRPr="00673F05">
        <w:rPr>
          <w:lang w:val="el-GR"/>
        </w:rPr>
        <w:t xml:space="preserve"> </w:t>
      </w:r>
      <w:r w:rsidR="00673F05">
        <w:t>Process</w:t>
      </w:r>
      <w:r w:rsidR="00673F05" w:rsidRPr="00673F05">
        <w:rPr>
          <w:lang w:val="el-GR"/>
        </w:rPr>
        <w:t xml:space="preserve">) </w:t>
      </w:r>
      <w:r w:rsidR="00673F05">
        <w:rPr>
          <w:lang w:val="el-GR"/>
        </w:rPr>
        <w:t>ή</w:t>
      </w:r>
      <w:r w:rsidR="00673F05" w:rsidRPr="00673F05">
        <w:rPr>
          <w:lang w:val="el-GR"/>
        </w:rPr>
        <w:t xml:space="preserve"> </w:t>
      </w:r>
      <w:r w:rsidR="00907F28" w:rsidRPr="00C92188">
        <w:rPr>
          <w:lang w:val="el-GR"/>
        </w:rPr>
        <w:t xml:space="preserve">διασυνοριακής διαδικασίας </w:t>
      </w:r>
      <w:r w:rsidR="00907F28" w:rsidRPr="00C92188">
        <w:rPr>
          <w:lang w:val="el-GR"/>
        </w:rPr>
        <w:lastRenderedPageBreak/>
        <w:t>ενεργοποίησης-ανταλλαγής aFRR (</w:t>
      </w:r>
      <w:r w:rsidR="00673F05">
        <w:t>C</w:t>
      </w:r>
      <w:r w:rsidR="00907F28" w:rsidRPr="00C92188">
        <w:t>ross</w:t>
      </w:r>
      <w:r w:rsidR="00907F28" w:rsidRPr="00C92188">
        <w:rPr>
          <w:lang w:val="el-GR"/>
        </w:rPr>
        <w:t>-</w:t>
      </w:r>
      <w:r w:rsidR="00907F28" w:rsidRPr="00C92188">
        <w:t>border</w:t>
      </w:r>
      <w:r w:rsidR="00907F28" w:rsidRPr="00C92188">
        <w:rPr>
          <w:lang w:val="el-GR"/>
        </w:rPr>
        <w:t xml:space="preserve"> </w:t>
      </w:r>
      <w:r w:rsidR="00907F28" w:rsidRPr="00C92188">
        <w:t>aFRR</w:t>
      </w:r>
      <w:r w:rsidR="00907F28" w:rsidRPr="00C92188">
        <w:rPr>
          <w:lang w:val="el-GR"/>
        </w:rPr>
        <w:t xml:space="preserve"> </w:t>
      </w:r>
      <w:r w:rsidR="00907F28" w:rsidRPr="00C92188">
        <w:t>activation</w:t>
      </w:r>
      <w:r w:rsidR="00CE0BCD" w:rsidRPr="00CE0BCD">
        <w:rPr>
          <w:lang w:val="el-GR"/>
        </w:rPr>
        <w:t xml:space="preserve"> </w:t>
      </w:r>
      <w:r w:rsidR="00CE0BCD">
        <w:t>Process</w:t>
      </w:r>
      <w:r w:rsidR="00907F28" w:rsidRPr="00C92188">
        <w:rPr>
          <w:lang w:val="el-GR"/>
        </w:rPr>
        <w:t>)</w:t>
      </w:r>
      <w:bookmarkEnd w:id="7"/>
      <w:r w:rsidR="00907F28" w:rsidRPr="00C92188">
        <w:rPr>
          <w:lang w:val="el-GR"/>
        </w:rPr>
        <w:t xml:space="preserve">, </w:t>
      </w:r>
      <w:r w:rsidR="00B0744D">
        <w:rPr>
          <w:lang w:val="el-GR"/>
        </w:rPr>
        <w:t>το</w:t>
      </w:r>
      <w:r w:rsidR="00907F28" w:rsidRPr="00C92188">
        <w:rPr>
          <w:lang w:val="el-GR"/>
        </w:rPr>
        <w:t xml:space="preserve"> FRCE υπολογίζεται εκ νέου με συντονισμένο τρόπο, προκειμένου να αντικατοπτρίζεται</w:t>
      </w:r>
      <w:r w:rsidR="00907F28" w:rsidRPr="00FD0AAC">
        <w:rPr>
          <w:lang w:val="el-GR"/>
        </w:rPr>
        <w:t xml:space="preserve"> η εναπομένουσα ανισορροπία </w:t>
      </w:r>
      <w:r w:rsidR="00907F28">
        <w:rPr>
          <w:lang w:val="el-GR"/>
        </w:rPr>
        <w:t>της περιοχής ελέγχου</w:t>
      </w:r>
      <w:r w:rsidR="00907F28" w:rsidRPr="00FD0AAC">
        <w:rPr>
          <w:lang w:val="el-GR"/>
        </w:rPr>
        <w:t xml:space="preserve"> που προκύπτει μόνο από τις ανισορροπίες της εν λόγω περιοχής</w:t>
      </w:r>
      <w:r w:rsidR="00F05DEE">
        <w:rPr>
          <w:lang w:val="el-GR"/>
        </w:rPr>
        <w:t>,</w:t>
      </w:r>
      <w:r w:rsidR="00CE0BCD" w:rsidRPr="00CE0BCD">
        <w:rPr>
          <w:lang w:val="el-GR"/>
        </w:rPr>
        <w:t xml:space="preserve"> </w:t>
      </w:r>
      <w:r w:rsidR="00CE0BCD">
        <w:rPr>
          <w:lang w:val="el-GR"/>
        </w:rPr>
        <w:t xml:space="preserve">χρησιμοποιώντας </w:t>
      </w:r>
      <w:r w:rsidR="00907F28">
        <w:rPr>
          <w:lang w:val="el-GR"/>
        </w:rPr>
        <w:t xml:space="preserve">επιπλέον </w:t>
      </w:r>
      <w:r w:rsidR="00CE0BCD">
        <w:rPr>
          <w:lang w:val="el-GR"/>
        </w:rPr>
        <w:t>σαν εισροές</w:t>
      </w:r>
      <w:r w:rsidR="00F05DEE" w:rsidRPr="00F05DEE">
        <w:rPr>
          <w:lang w:val="el-GR"/>
        </w:rPr>
        <w:t>:</w:t>
      </w:r>
      <w:r w:rsidR="00907F28" w:rsidRPr="00FD0AAC">
        <w:rPr>
          <w:lang w:val="el-GR"/>
        </w:rPr>
        <w:t xml:space="preserve"> </w:t>
      </w:r>
      <w:r w:rsidR="00CE0BCD">
        <w:rPr>
          <w:lang w:val="el-GR"/>
        </w:rPr>
        <w:t>τη ροή ενεργού ισχύος σε</w:t>
      </w:r>
      <w:r w:rsidR="00907F28" w:rsidRPr="00FD0AAC">
        <w:rPr>
          <w:lang w:val="el-GR"/>
        </w:rPr>
        <w:t xml:space="preserve"> </w:t>
      </w:r>
      <w:r w:rsidR="00907F28">
        <w:t>virtual</w:t>
      </w:r>
      <w:r w:rsidR="00907F28" w:rsidRPr="005B023D">
        <w:rPr>
          <w:lang w:val="el-GR"/>
        </w:rPr>
        <w:t>/</w:t>
      </w:r>
      <w:r w:rsidR="00907F28">
        <w:rPr>
          <w:lang w:val="el-GR"/>
        </w:rPr>
        <w:t xml:space="preserve">εικονικές </w:t>
      </w:r>
      <w:r w:rsidR="00907F28" w:rsidRPr="00FD0AAC">
        <w:rPr>
          <w:lang w:val="el-GR"/>
        </w:rPr>
        <w:t>γραμμ</w:t>
      </w:r>
      <w:r w:rsidR="00907F28">
        <w:rPr>
          <w:lang w:val="el-GR"/>
        </w:rPr>
        <w:t>ές</w:t>
      </w:r>
      <w:r w:rsidR="00907F28" w:rsidRPr="00FD0AAC">
        <w:rPr>
          <w:lang w:val="el-GR"/>
        </w:rPr>
        <w:t xml:space="preserve"> </w:t>
      </w:r>
      <w:r w:rsidR="00907F28">
        <w:rPr>
          <w:lang w:val="el-GR"/>
        </w:rPr>
        <w:t>δια</w:t>
      </w:r>
      <w:r w:rsidR="00907F28" w:rsidRPr="00FD0AAC">
        <w:rPr>
          <w:lang w:val="el-GR"/>
        </w:rPr>
        <w:t>σύνδεσης, τα σημεία ρύθμισης της ενεργοποίησης FRR και την εκτιμώμενη ενεργοποίηση FRR</w:t>
      </w:r>
      <w:r w:rsidR="003F51A6">
        <w:rPr>
          <w:lang w:val="el-GR"/>
        </w:rPr>
        <w:t>.</w:t>
      </w:r>
      <w:r w:rsidR="00DE6CF0">
        <w:rPr>
          <w:rStyle w:val="a5"/>
          <w:lang w:val="el-GR"/>
        </w:rPr>
        <w:footnoteReference w:id="9"/>
      </w:r>
    </w:p>
    <w:p w14:paraId="50D8DE62" w14:textId="77777777" w:rsidR="00D16D21" w:rsidRPr="00D85689" w:rsidRDefault="00D16D21" w:rsidP="00D85689">
      <w:pPr>
        <w:rPr>
          <w:lang w:val="el-GR"/>
        </w:rPr>
      </w:pPr>
    </w:p>
    <w:p w14:paraId="2AD830CA" w14:textId="77777777" w:rsidR="002315E9" w:rsidRPr="00343214" w:rsidRDefault="00343214" w:rsidP="00343214">
      <w:pPr>
        <w:pStyle w:val="2"/>
        <w:rPr>
          <w:lang w:val="el-GR"/>
        </w:rPr>
      </w:pPr>
      <w:bookmarkStart w:id="8" w:name="_Toc100851205"/>
      <w:r>
        <w:rPr>
          <w:lang w:val="el-GR"/>
        </w:rPr>
        <w:t xml:space="preserve">4.2 </w:t>
      </w:r>
      <w:r w:rsidR="00DF0EB5">
        <w:rPr>
          <w:lang w:val="el-GR"/>
        </w:rPr>
        <w:t>Απόκλιση</w:t>
      </w:r>
      <w:r w:rsidR="00A628FE" w:rsidRPr="00343214">
        <w:rPr>
          <w:lang w:val="el-GR"/>
        </w:rPr>
        <w:t xml:space="preserve"> Τάσης (</w:t>
      </w:r>
      <w:r w:rsidR="00A628FE" w:rsidRPr="00343214">
        <w:t>VDI</w:t>
      </w:r>
      <w:r w:rsidR="00A628FE" w:rsidRPr="00343214">
        <w:rPr>
          <w:lang w:val="el-GR"/>
        </w:rPr>
        <w:t>)</w:t>
      </w:r>
      <w:bookmarkEnd w:id="8"/>
    </w:p>
    <w:p w14:paraId="42D49165" w14:textId="77777777" w:rsidR="00D33787" w:rsidRDefault="00D33787" w:rsidP="002315E9">
      <w:pPr>
        <w:jc w:val="both"/>
        <w:rPr>
          <w:lang w:val="el-GR"/>
        </w:rPr>
      </w:pPr>
      <w:r>
        <w:rPr>
          <w:lang w:val="el-GR"/>
        </w:rPr>
        <w:t>Ο ΑΔΜΗΕ ως Διαχειριστής του Συστήματος επιτηρεί συνεχώς τα επίπεδα τάσης στους ζυγούς του Συστήματος και στα Όρια του Συστήματος</w:t>
      </w:r>
      <w:r>
        <w:rPr>
          <w:rStyle w:val="a5"/>
          <w:lang w:val="el-GR"/>
        </w:rPr>
        <w:footnoteReference w:id="10"/>
      </w:r>
      <w:r>
        <w:rPr>
          <w:lang w:val="el-GR"/>
        </w:rPr>
        <w:t xml:space="preserve">, λαμβάνοντας δεδομένα πραγματικού χρόνου μέσω </w:t>
      </w:r>
      <w:r w:rsidR="00280A1C">
        <w:rPr>
          <w:lang w:val="el-GR"/>
        </w:rPr>
        <w:t>τηλεμετρίας</w:t>
      </w:r>
      <w:r>
        <w:rPr>
          <w:lang w:val="el-GR"/>
        </w:rPr>
        <w:t xml:space="preserve"> σε κατά τόπους Υποσταθμούς του Συστήματος</w:t>
      </w:r>
      <w:r w:rsidRPr="003D6AE0">
        <w:rPr>
          <w:lang w:val="el-GR"/>
        </w:rPr>
        <w:t xml:space="preserve"> </w:t>
      </w:r>
      <w:r>
        <w:rPr>
          <w:lang w:val="el-GR"/>
        </w:rPr>
        <w:t xml:space="preserve"> και μέσω του Συστήματος Ελέγχου και Παρακολούθησης </w:t>
      </w:r>
      <w:r>
        <w:t>SCADA</w:t>
      </w:r>
      <w:r>
        <w:rPr>
          <w:lang w:val="el-GR"/>
        </w:rPr>
        <w:t xml:space="preserve">, εξασφαλίζοντας έτσι την απρόσκοπτη ροή ενέργειας στο Σύστημα.  </w:t>
      </w:r>
    </w:p>
    <w:p w14:paraId="6FDAABA0" w14:textId="77777777" w:rsidR="00C35F5C" w:rsidRDefault="00C35F5C" w:rsidP="00C35F5C">
      <w:pPr>
        <w:jc w:val="both"/>
        <w:rPr>
          <w:lang w:val="el-GR"/>
        </w:rPr>
      </w:pPr>
      <w:r>
        <w:rPr>
          <w:lang w:val="el-GR"/>
        </w:rPr>
        <w:t>Η τήρηση της επιχειρησιακής ασφάλειας του Συστήματος προτάσσει</w:t>
      </w:r>
      <w:r>
        <w:rPr>
          <w:rStyle w:val="a5"/>
          <w:lang w:val="el-GR"/>
        </w:rPr>
        <w:footnoteReference w:id="11"/>
      </w:r>
      <w:r>
        <w:rPr>
          <w:lang w:val="el-GR"/>
        </w:rPr>
        <w:t>, πως η τάση στους ζυγούς του Συστήματος θα πρέπει να διατηρείται στο επιτρεπτό εύρος που ορίζεται στον ίδιο Κανονισμό για τη Συγχρονισμένη Ζώνη Ηπειρωτικής Ευρώπης, ως εξής</w:t>
      </w:r>
      <w:r w:rsidRPr="00EC18F6">
        <w:rPr>
          <w:lang w:val="el-GR"/>
        </w:rPr>
        <w:t>:</w:t>
      </w:r>
    </w:p>
    <w:p w14:paraId="32F71475" w14:textId="77777777" w:rsidR="00C35F5C" w:rsidRPr="00C35F5C" w:rsidRDefault="00C35F5C" w:rsidP="00C35F5C">
      <w:pPr>
        <w:pStyle w:val="a3"/>
        <w:numPr>
          <w:ilvl w:val="0"/>
          <w:numId w:val="6"/>
        </w:numPr>
        <w:jc w:val="both"/>
        <w:rPr>
          <w:b/>
          <w:lang w:val="el-GR"/>
        </w:rPr>
      </w:pPr>
      <w:r>
        <w:rPr>
          <w:b/>
          <w:lang w:val="el-GR"/>
        </w:rPr>
        <w:t xml:space="preserve">Για επίπεδο τάσης </w:t>
      </w:r>
      <w:r w:rsidRPr="00C35F5C">
        <w:rPr>
          <w:b/>
          <w:lang w:val="el-GR"/>
        </w:rPr>
        <w:t>110-300</w:t>
      </w:r>
      <w:r w:rsidRPr="00075896">
        <w:rPr>
          <w:b/>
        </w:rPr>
        <w:t>kV</w:t>
      </w:r>
      <w:r>
        <w:rPr>
          <w:b/>
          <w:lang w:val="el-GR"/>
        </w:rPr>
        <w:t xml:space="preserve"> </w:t>
      </w:r>
      <w:r w:rsidRPr="00C35F5C">
        <w:rPr>
          <w:b/>
          <w:lang w:val="el-GR"/>
        </w:rPr>
        <w:sym w:font="Wingdings" w:char="F0E0"/>
      </w:r>
      <w:r w:rsidRPr="00C35F5C">
        <w:rPr>
          <w:b/>
          <w:lang w:val="el-GR"/>
        </w:rPr>
        <w:t xml:space="preserve"> 0,90</w:t>
      </w:r>
      <w:r w:rsidRPr="00075896">
        <w:rPr>
          <w:b/>
        </w:rPr>
        <w:t>pu</w:t>
      </w:r>
      <w:r w:rsidRPr="00C35F5C">
        <w:rPr>
          <w:b/>
          <w:lang w:val="el-GR"/>
        </w:rPr>
        <w:t>–1,118</w:t>
      </w:r>
      <w:r w:rsidRPr="00075896">
        <w:rPr>
          <w:b/>
        </w:rPr>
        <w:t>pu</w:t>
      </w:r>
    </w:p>
    <w:p w14:paraId="4BD8A5BE" w14:textId="77777777" w:rsidR="00C35F5C" w:rsidRPr="00AF435F" w:rsidRDefault="00C35F5C" w:rsidP="002315E9">
      <w:pPr>
        <w:pStyle w:val="a3"/>
        <w:numPr>
          <w:ilvl w:val="0"/>
          <w:numId w:val="6"/>
        </w:numPr>
        <w:jc w:val="both"/>
        <w:rPr>
          <w:b/>
          <w:lang w:val="el-GR"/>
        </w:rPr>
      </w:pPr>
      <w:r>
        <w:rPr>
          <w:b/>
          <w:lang w:val="el-GR"/>
        </w:rPr>
        <w:t xml:space="preserve">Για επίπεδο τάσης </w:t>
      </w:r>
      <w:r w:rsidRPr="00AF435F">
        <w:rPr>
          <w:b/>
          <w:lang w:val="el-GR"/>
        </w:rPr>
        <w:t>300-400</w:t>
      </w:r>
      <w:r w:rsidRPr="00075896">
        <w:rPr>
          <w:b/>
        </w:rPr>
        <w:t>kV</w:t>
      </w:r>
      <w:r>
        <w:rPr>
          <w:b/>
          <w:lang w:val="el-GR"/>
        </w:rPr>
        <w:t xml:space="preserve"> </w:t>
      </w:r>
      <w:r w:rsidRPr="00C35F5C">
        <w:rPr>
          <w:b/>
          <w:lang w:val="el-GR"/>
        </w:rPr>
        <w:sym w:font="Wingdings" w:char="F0E0"/>
      </w:r>
      <w:r w:rsidRPr="00AF435F">
        <w:rPr>
          <w:b/>
          <w:lang w:val="el-GR"/>
        </w:rPr>
        <w:t xml:space="preserve"> 0,90</w:t>
      </w:r>
      <w:r w:rsidRPr="00075896">
        <w:rPr>
          <w:b/>
        </w:rPr>
        <w:t>pu</w:t>
      </w:r>
      <w:r w:rsidRPr="00AF435F">
        <w:rPr>
          <w:b/>
          <w:lang w:val="el-GR"/>
        </w:rPr>
        <w:t>–1,05</w:t>
      </w:r>
      <w:r w:rsidRPr="00075896">
        <w:rPr>
          <w:b/>
        </w:rPr>
        <w:t>pu</w:t>
      </w:r>
      <w:r>
        <w:rPr>
          <w:rStyle w:val="a5"/>
          <w:b/>
        </w:rPr>
        <w:footnoteReference w:id="12"/>
      </w:r>
    </w:p>
    <w:p w14:paraId="515B50AD" w14:textId="77777777" w:rsidR="00C35F5C" w:rsidRPr="00C35F5C" w:rsidRDefault="00C35F5C" w:rsidP="002315E9">
      <w:pPr>
        <w:jc w:val="both"/>
        <w:rPr>
          <w:lang w:val="el-GR"/>
        </w:rPr>
      </w:pPr>
      <w:r w:rsidRPr="00712561">
        <w:rPr>
          <w:lang w:val="el-GR"/>
        </w:rPr>
        <w:t xml:space="preserve">Οι δείκτες απόκλισης τάσης </w:t>
      </w:r>
      <w:r w:rsidRPr="005B5CD9">
        <w:rPr>
          <w:lang w:val="el-GR"/>
        </w:rPr>
        <w:t>(</w:t>
      </w:r>
      <w:r>
        <w:t>VDI</w:t>
      </w:r>
      <w:r w:rsidRPr="00A30D11">
        <w:rPr>
          <w:lang w:val="el-GR"/>
        </w:rPr>
        <w:t xml:space="preserve"> – </w:t>
      </w:r>
      <w:r>
        <w:t>Voltage</w:t>
      </w:r>
      <w:r w:rsidRPr="00A30D11">
        <w:rPr>
          <w:lang w:val="el-GR"/>
        </w:rPr>
        <w:t xml:space="preserve"> </w:t>
      </w:r>
      <w:r>
        <w:t>Deviation</w:t>
      </w:r>
      <w:r w:rsidRPr="00A30D11">
        <w:rPr>
          <w:lang w:val="el-GR"/>
        </w:rPr>
        <w:t xml:space="preserve"> </w:t>
      </w:r>
      <w:r>
        <w:t>Index</w:t>
      </w:r>
      <w:r w:rsidRPr="005B5CD9">
        <w:rPr>
          <w:lang w:val="el-GR"/>
        </w:rPr>
        <w:t xml:space="preserve">) </w:t>
      </w:r>
      <w:r>
        <w:rPr>
          <w:lang w:val="el-GR"/>
        </w:rPr>
        <w:t>ορίζονται</w:t>
      </w:r>
      <w:r w:rsidRPr="00712561">
        <w:rPr>
          <w:lang w:val="el-GR"/>
        </w:rPr>
        <w:t xml:space="preserve"> για την εύρεση της συχνότητας ή της χρονικής διάρκειας κατά την οποία </w:t>
      </w:r>
      <w:r>
        <w:rPr>
          <w:lang w:val="el-GR"/>
        </w:rPr>
        <w:t>η τάση στους ζυγούς του Συστήματος</w:t>
      </w:r>
      <w:r w:rsidRPr="00712561">
        <w:rPr>
          <w:lang w:val="el-GR"/>
        </w:rPr>
        <w:t xml:space="preserve"> αποκλίν</w:t>
      </w:r>
      <w:r>
        <w:rPr>
          <w:lang w:val="el-GR"/>
        </w:rPr>
        <w:t>ει</w:t>
      </w:r>
      <w:r w:rsidRPr="00712561">
        <w:rPr>
          <w:lang w:val="el-GR"/>
        </w:rPr>
        <w:t xml:space="preserve"> από το επιτρεπόμενο εύρος τάσης</w:t>
      </w:r>
      <w:r>
        <w:rPr>
          <w:lang w:val="el-GR"/>
        </w:rPr>
        <w:t>, όπως αυτό ορίζεται</w:t>
      </w:r>
      <w:r w:rsidRPr="005B5CD9">
        <w:rPr>
          <w:lang w:val="el-GR"/>
        </w:rPr>
        <w:t xml:space="preserve"> </w:t>
      </w:r>
      <w:r>
        <w:rPr>
          <w:lang w:val="el-GR"/>
        </w:rPr>
        <w:t xml:space="preserve">στον </w:t>
      </w:r>
      <w:r>
        <w:t>SOGL</w:t>
      </w:r>
      <w:r>
        <w:rPr>
          <w:lang w:val="el-GR"/>
        </w:rPr>
        <w:t xml:space="preserve"> για κάθε επίπεδο τάσης</w:t>
      </w:r>
      <w:r w:rsidRPr="00712561">
        <w:rPr>
          <w:lang w:val="el-GR"/>
        </w:rPr>
        <w:t>.</w:t>
      </w:r>
      <w:r w:rsidRPr="00C35F5C">
        <w:rPr>
          <w:lang w:val="el-GR"/>
        </w:rPr>
        <w:t xml:space="preserve"> </w:t>
      </w:r>
      <w:r w:rsidRPr="00AF435F">
        <w:rPr>
          <w:b/>
          <w:bCs/>
          <w:lang w:val="el-GR"/>
        </w:rPr>
        <w:t xml:space="preserve">Ο Διαχειριστής Συστήματος υποβάλει τα σχετικά στοιχεία στον </w:t>
      </w:r>
      <w:r w:rsidRPr="00AF435F">
        <w:rPr>
          <w:b/>
          <w:bCs/>
        </w:rPr>
        <w:t>ENTSO</w:t>
      </w:r>
      <w:r w:rsidRPr="00AF435F">
        <w:rPr>
          <w:b/>
          <w:bCs/>
          <w:lang w:val="el-GR"/>
        </w:rPr>
        <w:t>-</w:t>
      </w:r>
      <w:r w:rsidRPr="00AF435F">
        <w:rPr>
          <w:b/>
          <w:bCs/>
        </w:rPr>
        <w:t>E</w:t>
      </w:r>
      <w:r w:rsidRPr="00AF435F">
        <w:rPr>
          <w:b/>
          <w:bCs/>
          <w:lang w:val="el-GR"/>
        </w:rPr>
        <w:t xml:space="preserve"> έως την 1</w:t>
      </w:r>
      <w:r w:rsidRPr="00AF435F">
        <w:rPr>
          <w:b/>
          <w:bCs/>
          <w:vertAlign w:val="superscript"/>
          <w:lang w:val="el-GR"/>
        </w:rPr>
        <w:t>η</w:t>
      </w:r>
      <w:r w:rsidRPr="00AF435F">
        <w:rPr>
          <w:b/>
          <w:bCs/>
          <w:lang w:val="el-GR"/>
        </w:rPr>
        <w:t xml:space="preserve"> Μαρτίου</w:t>
      </w:r>
      <w:r w:rsidRPr="00AF435F">
        <w:rPr>
          <w:rStyle w:val="a5"/>
          <w:b/>
          <w:bCs/>
          <w:lang w:val="el-GR"/>
        </w:rPr>
        <w:footnoteReference w:id="13"/>
      </w:r>
      <w:r w:rsidRPr="00AF435F">
        <w:rPr>
          <w:b/>
          <w:bCs/>
          <w:lang w:val="el-GR"/>
        </w:rPr>
        <w:t xml:space="preserve"> κάθε έτους</w:t>
      </w:r>
      <w:r w:rsidRPr="00C35F5C">
        <w:rPr>
          <w:lang w:val="el-GR"/>
        </w:rPr>
        <w:t>.</w:t>
      </w:r>
    </w:p>
    <w:p w14:paraId="3732D0D8" w14:textId="77777777" w:rsidR="00D85689" w:rsidRPr="00AF435F" w:rsidRDefault="00343214" w:rsidP="00D85689">
      <w:pPr>
        <w:jc w:val="both"/>
        <w:rPr>
          <w:lang w:val="el-GR"/>
        </w:rPr>
      </w:pPr>
      <w:r w:rsidRPr="00343214">
        <w:rPr>
          <w:rFonts w:ascii="Arial Black" w:hAnsi="Arial Black"/>
          <w:lang w:val="el-GR"/>
        </w:rPr>
        <w:t>4.2.</w:t>
      </w:r>
      <w:r w:rsidR="00C35F5C" w:rsidRPr="00C35F5C">
        <w:rPr>
          <w:rFonts w:ascii="Arial Black" w:hAnsi="Arial Black"/>
          <w:lang w:val="el-GR"/>
        </w:rPr>
        <w:t>1</w:t>
      </w:r>
      <w:r>
        <w:rPr>
          <w:lang w:val="el-GR"/>
        </w:rPr>
        <w:t xml:space="preserve"> </w:t>
      </w:r>
      <w:r w:rsidR="00D85689" w:rsidRPr="00D85689">
        <w:rPr>
          <w:lang w:val="el-GR"/>
        </w:rPr>
        <w:t xml:space="preserve">Ο </w:t>
      </w:r>
      <w:r w:rsidR="00AE5A21">
        <w:rPr>
          <w:lang w:val="el-GR"/>
        </w:rPr>
        <w:t>Δ</w:t>
      </w:r>
      <w:r w:rsidR="00D85689" w:rsidRPr="00D85689">
        <w:rPr>
          <w:lang w:val="el-GR"/>
        </w:rPr>
        <w:t xml:space="preserve">ιαχειριστής Συστήματος θα αναπαριστά γραφικά στην έκθεση του, στο πλαίσιο της παρουσίασης </w:t>
      </w:r>
      <w:r w:rsidR="00AE5A21">
        <w:rPr>
          <w:lang w:val="el-GR"/>
        </w:rPr>
        <w:t xml:space="preserve">των αποτελεσμάτων </w:t>
      </w:r>
      <w:r w:rsidR="00D85689" w:rsidRPr="00D85689">
        <w:rPr>
          <w:lang w:val="el-GR"/>
        </w:rPr>
        <w:t>του δείκτη VDI, τα εξής στοιχεία</w:t>
      </w:r>
      <w:r w:rsidR="00AF435F" w:rsidRPr="00AF435F">
        <w:rPr>
          <w:lang w:val="el-GR"/>
        </w:rPr>
        <w:t>:</w:t>
      </w:r>
    </w:p>
    <w:p w14:paraId="3382B9B3" w14:textId="77777777" w:rsidR="00D85689" w:rsidRPr="00A17FB2" w:rsidRDefault="00D85689" w:rsidP="00D85689">
      <w:pPr>
        <w:jc w:val="both"/>
        <w:rPr>
          <w:lang w:val="el-GR"/>
        </w:rPr>
      </w:pPr>
      <w:r w:rsidRPr="00E85AD4">
        <w:rPr>
          <w:u w:val="single"/>
          <w:lang w:val="el-GR"/>
        </w:rPr>
        <w:t xml:space="preserve">Για κάθε μήνα </w:t>
      </w:r>
      <w:r w:rsidR="00AE5A21" w:rsidRPr="00E85AD4">
        <w:rPr>
          <w:u w:val="single"/>
          <w:lang w:val="el-GR"/>
        </w:rPr>
        <w:t>του έτους αναφοράς</w:t>
      </w:r>
      <w:r w:rsidR="00AE5A21">
        <w:rPr>
          <w:lang w:val="el-GR"/>
        </w:rPr>
        <w:t xml:space="preserve"> </w:t>
      </w:r>
      <w:r w:rsidRPr="00D85689">
        <w:rPr>
          <w:lang w:val="el-GR"/>
        </w:rPr>
        <w:t>και σε αντιδιαστολή με τον αντίστοιχ</w:t>
      </w:r>
      <w:r>
        <w:rPr>
          <w:lang w:val="el-GR"/>
        </w:rPr>
        <w:t>ο μήνα του προηγούμενου έτους</w:t>
      </w:r>
      <w:r w:rsidR="00343214">
        <w:rPr>
          <w:lang w:val="el-GR"/>
        </w:rPr>
        <w:t xml:space="preserve">, </w:t>
      </w:r>
      <w:r w:rsidR="00343214" w:rsidRPr="00AF435F">
        <w:rPr>
          <w:u w:val="single"/>
          <w:lang w:val="el-GR"/>
        </w:rPr>
        <w:t>διακριτά</w:t>
      </w:r>
      <w:r w:rsidR="00A17FB2" w:rsidRPr="00AF435F">
        <w:rPr>
          <w:u w:val="single"/>
          <w:lang w:val="el-GR"/>
        </w:rPr>
        <w:t xml:space="preserve"> για τα επίπεδα</w:t>
      </w:r>
      <w:r w:rsidRPr="00AF435F">
        <w:rPr>
          <w:u w:val="single"/>
          <w:lang w:val="el-GR"/>
        </w:rPr>
        <w:t xml:space="preserve"> τάσης 150kV </w:t>
      </w:r>
      <w:r w:rsidR="00A17FB2" w:rsidRPr="00AF435F">
        <w:rPr>
          <w:u w:val="single"/>
          <w:lang w:val="el-GR"/>
        </w:rPr>
        <w:t>και 400kV</w:t>
      </w:r>
      <w:r w:rsidR="00502394">
        <w:rPr>
          <w:lang w:val="el-GR"/>
        </w:rPr>
        <w:t>,</w:t>
      </w:r>
      <w:r w:rsidR="00A17FB2">
        <w:rPr>
          <w:lang w:val="el-GR"/>
        </w:rPr>
        <w:t xml:space="preserve"> </w:t>
      </w:r>
      <w:r w:rsidR="00502394">
        <w:rPr>
          <w:lang w:val="el-GR"/>
        </w:rPr>
        <w:t>για το σύνολο των</w:t>
      </w:r>
      <w:r w:rsidR="00A17FB2">
        <w:rPr>
          <w:lang w:val="el-GR"/>
        </w:rPr>
        <w:t xml:space="preserve"> Ζυγ</w:t>
      </w:r>
      <w:r w:rsidR="00502394">
        <w:rPr>
          <w:lang w:val="el-GR"/>
        </w:rPr>
        <w:t>ών</w:t>
      </w:r>
      <w:r w:rsidR="00A17FB2">
        <w:rPr>
          <w:lang w:val="el-GR"/>
        </w:rPr>
        <w:t xml:space="preserve"> </w:t>
      </w:r>
      <w:r w:rsidR="00502394">
        <w:rPr>
          <w:lang w:val="el-GR"/>
        </w:rPr>
        <w:t>στο</w:t>
      </w:r>
      <w:r w:rsidR="00A17FB2">
        <w:rPr>
          <w:lang w:val="el-GR"/>
        </w:rPr>
        <w:t xml:space="preserve"> Σ</w:t>
      </w:r>
      <w:r w:rsidR="00502394">
        <w:rPr>
          <w:lang w:val="el-GR"/>
        </w:rPr>
        <w:t>ύστημα</w:t>
      </w:r>
      <w:r w:rsidR="00A17FB2">
        <w:rPr>
          <w:lang w:val="el-GR"/>
        </w:rPr>
        <w:t xml:space="preserve"> και στα Όρια του Συστήματος με το δίκτυο διανομής</w:t>
      </w:r>
      <w:r w:rsidR="00A17FB2" w:rsidRPr="00A17FB2">
        <w:rPr>
          <w:lang w:val="el-GR"/>
        </w:rPr>
        <w:t>:</w:t>
      </w:r>
    </w:p>
    <w:p w14:paraId="391AC997" w14:textId="77777777" w:rsidR="00A17FB2" w:rsidRPr="00655C39" w:rsidRDefault="00A17FB2" w:rsidP="00A17FB2">
      <w:pPr>
        <w:pStyle w:val="a3"/>
        <w:numPr>
          <w:ilvl w:val="0"/>
          <w:numId w:val="7"/>
        </w:numPr>
        <w:jc w:val="both"/>
        <w:rPr>
          <w:lang w:val="el-GR"/>
        </w:rPr>
      </w:pPr>
      <w:r w:rsidRPr="00655C39">
        <w:rPr>
          <w:lang w:val="el-GR"/>
        </w:rPr>
        <w:t>Αριθμός αποκλίσεων τάσης</w:t>
      </w:r>
      <w:r w:rsidRPr="00D64C33">
        <w:rPr>
          <w:lang w:val="el-GR"/>
        </w:rPr>
        <w:t xml:space="preserve"> </w:t>
      </w:r>
      <w:r w:rsidRPr="00655C39">
        <w:rPr>
          <w:lang w:val="el-GR"/>
        </w:rPr>
        <w:t>από τα επιτρεπτά όρια</w:t>
      </w:r>
      <w:r>
        <w:rPr>
          <w:lang w:val="el-GR"/>
        </w:rPr>
        <w:t xml:space="preserve"> όπως αυτά ορίζονται στον </w:t>
      </w:r>
      <w:r>
        <w:t>SOGL</w:t>
      </w:r>
      <w:r w:rsidR="00C35F5C" w:rsidRPr="00C35F5C">
        <w:rPr>
          <w:lang w:val="el-GR"/>
        </w:rPr>
        <w:t>,</w:t>
      </w:r>
    </w:p>
    <w:p w14:paraId="53B47D39" w14:textId="77777777" w:rsidR="00A17FB2" w:rsidRPr="00655C39" w:rsidRDefault="00A17FB2" w:rsidP="00A17FB2">
      <w:pPr>
        <w:pStyle w:val="a3"/>
        <w:numPr>
          <w:ilvl w:val="0"/>
          <w:numId w:val="7"/>
        </w:numPr>
        <w:jc w:val="both"/>
        <w:rPr>
          <w:lang w:val="el-GR"/>
        </w:rPr>
      </w:pPr>
      <w:r>
        <w:rPr>
          <w:lang w:val="el-GR"/>
        </w:rPr>
        <w:t>Χρονικό διάστημα</w:t>
      </w:r>
      <w:r w:rsidRPr="00655C39">
        <w:rPr>
          <w:lang w:val="el-GR"/>
        </w:rPr>
        <w:t xml:space="preserve"> όπου η τάση αποκλίνει από τα επιτρεπτά όρια</w:t>
      </w:r>
      <w:r>
        <w:rPr>
          <w:lang w:val="el-GR"/>
        </w:rPr>
        <w:t xml:space="preserve"> όπως αυτά ορίζονται στον </w:t>
      </w:r>
      <w:r>
        <w:t>SOGL</w:t>
      </w:r>
      <w:r w:rsidR="00AE5A21">
        <w:rPr>
          <w:lang w:val="el-GR"/>
        </w:rPr>
        <w:t>.</w:t>
      </w:r>
      <w:r w:rsidRPr="00100C29">
        <w:rPr>
          <w:lang w:val="el-GR"/>
        </w:rPr>
        <w:t xml:space="preserve"> </w:t>
      </w:r>
    </w:p>
    <w:p w14:paraId="4E34C59A" w14:textId="586C5454" w:rsidR="002A42DE" w:rsidRPr="002A42DE" w:rsidRDefault="00343214" w:rsidP="002A42DE">
      <w:pPr>
        <w:jc w:val="both"/>
        <w:rPr>
          <w:lang w:val="el-GR"/>
        </w:rPr>
      </w:pPr>
      <w:r w:rsidRPr="00343214">
        <w:rPr>
          <w:rFonts w:ascii="Arial Black" w:hAnsi="Arial Black"/>
          <w:lang w:val="el-GR"/>
        </w:rPr>
        <w:t>4.2.</w:t>
      </w:r>
      <w:r w:rsidR="00F82617">
        <w:rPr>
          <w:rFonts w:ascii="Arial Black" w:hAnsi="Arial Black"/>
          <w:lang w:val="el-GR"/>
        </w:rPr>
        <w:t>2</w:t>
      </w:r>
      <w:r>
        <w:rPr>
          <w:lang w:val="el-GR"/>
        </w:rPr>
        <w:t xml:space="preserve"> </w:t>
      </w:r>
      <w:r w:rsidR="00D85689" w:rsidRPr="00D85689">
        <w:rPr>
          <w:lang w:val="el-GR"/>
        </w:rPr>
        <w:t>Ο Διαχειριστής του Συστήματο</w:t>
      </w:r>
      <w:r w:rsidR="00AE5A21">
        <w:rPr>
          <w:lang w:val="el-GR"/>
        </w:rPr>
        <w:t>ς</w:t>
      </w:r>
      <w:r w:rsidR="002A42DE">
        <w:rPr>
          <w:lang w:val="el-GR"/>
        </w:rPr>
        <w:t xml:space="preserve"> θα υπολογίζει </w:t>
      </w:r>
      <w:r w:rsidR="002A42DE" w:rsidRPr="00D85689">
        <w:rPr>
          <w:lang w:val="el-GR"/>
        </w:rPr>
        <w:t>βάσει των προαναφερόμενων</w:t>
      </w:r>
      <w:r w:rsidR="002A42DE">
        <w:rPr>
          <w:lang w:val="el-GR"/>
        </w:rPr>
        <w:t xml:space="preserve"> στην ενότητα 4.2.</w:t>
      </w:r>
      <w:r w:rsidR="00AF435F">
        <w:rPr>
          <w:lang w:val="el-GR"/>
        </w:rPr>
        <w:t>1</w:t>
      </w:r>
      <w:r w:rsidR="002A42DE">
        <w:rPr>
          <w:lang w:val="el-GR"/>
        </w:rPr>
        <w:t xml:space="preserve"> </w:t>
      </w:r>
      <w:r w:rsidR="002A42DE" w:rsidRPr="00D85689">
        <w:rPr>
          <w:lang w:val="el-GR"/>
        </w:rPr>
        <w:t xml:space="preserve"> </w:t>
      </w:r>
      <w:r w:rsidR="002A42DE">
        <w:rPr>
          <w:lang w:val="el-GR"/>
        </w:rPr>
        <w:t>δεδομένων απόκλισης τάσης</w:t>
      </w:r>
      <w:r w:rsidR="00AE5A21" w:rsidRPr="00AE5A21">
        <w:rPr>
          <w:lang w:val="el-GR"/>
        </w:rPr>
        <w:t>,</w:t>
      </w:r>
      <w:r w:rsidR="002A42DE">
        <w:rPr>
          <w:lang w:val="el-GR"/>
        </w:rPr>
        <w:t xml:space="preserve"> και θα αναφέρει στη</w:t>
      </w:r>
      <w:r w:rsidR="00280A1C">
        <w:rPr>
          <w:lang w:val="el-GR"/>
        </w:rPr>
        <w:t>ν ετήσια</w:t>
      </w:r>
      <w:r w:rsidR="002A42DE">
        <w:rPr>
          <w:lang w:val="el-GR"/>
        </w:rPr>
        <w:t xml:space="preserve"> έκθεση του, </w:t>
      </w:r>
      <w:r w:rsidR="00280A1C" w:rsidRPr="00E85AD4">
        <w:rPr>
          <w:u w:val="single"/>
          <w:lang w:val="el-GR"/>
        </w:rPr>
        <w:t>για το έτος αναφοράς</w:t>
      </w:r>
      <w:r w:rsidR="00280A1C">
        <w:rPr>
          <w:lang w:val="el-GR"/>
        </w:rPr>
        <w:t xml:space="preserve"> και σε αντιδιαστολή με το προηγούμενο έτος, </w:t>
      </w:r>
      <w:r w:rsidR="00AE5A21" w:rsidRPr="00AF435F">
        <w:rPr>
          <w:u w:val="single"/>
          <w:lang w:val="el-GR"/>
        </w:rPr>
        <w:t xml:space="preserve">διακριτά </w:t>
      </w:r>
      <w:r w:rsidR="00280A1C" w:rsidRPr="00AF435F">
        <w:rPr>
          <w:u w:val="single"/>
          <w:lang w:val="el-GR"/>
        </w:rPr>
        <w:t>ανά επίπεδο</w:t>
      </w:r>
      <w:r w:rsidR="00AE5A21" w:rsidRPr="00AF435F">
        <w:rPr>
          <w:u w:val="single"/>
          <w:lang w:val="el-GR"/>
        </w:rPr>
        <w:t xml:space="preserve"> τάσης 150kV και 400kV</w:t>
      </w:r>
      <w:r w:rsidR="00502394">
        <w:rPr>
          <w:lang w:val="el-GR"/>
        </w:rPr>
        <w:t>,</w:t>
      </w:r>
      <w:r w:rsidR="00AE5A21">
        <w:rPr>
          <w:lang w:val="el-GR"/>
        </w:rPr>
        <w:t xml:space="preserve"> </w:t>
      </w:r>
      <w:r w:rsidR="00C96013">
        <w:rPr>
          <w:lang w:val="el-GR"/>
        </w:rPr>
        <w:t>για το</w:t>
      </w:r>
      <w:r w:rsidR="00AE5A21">
        <w:rPr>
          <w:lang w:val="el-GR"/>
        </w:rPr>
        <w:t xml:space="preserve"> </w:t>
      </w:r>
      <w:r w:rsidR="00C96013">
        <w:rPr>
          <w:lang w:val="el-GR"/>
        </w:rPr>
        <w:t>σύνολο των Ζυγών του Συστήματος και στα Όρια του</w:t>
      </w:r>
      <w:r w:rsidR="00AE5A21">
        <w:rPr>
          <w:lang w:val="el-GR"/>
        </w:rPr>
        <w:t xml:space="preserve"> Συστήματος με το δίκτυο διανομής</w:t>
      </w:r>
      <w:r w:rsidR="002A42DE" w:rsidRPr="002A42DE">
        <w:rPr>
          <w:lang w:val="el-GR"/>
        </w:rPr>
        <w:t>:</w:t>
      </w:r>
    </w:p>
    <w:p w14:paraId="598D933D" w14:textId="77777777" w:rsidR="002A42DE" w:rsidRPr="00280A1C" w:rsidRDefault="00280A1C" w:rsidP="00280A1C">
      <w:pPr>
        <w:pStyle w:val="a3"/>
        <w:numPr>
          <w:ilvl w:val="0"/>
          <w:numId w:val="43"/>
        </w:numPr>
        <w:jc w:val="both"/>
        <w:rPr>
          <w:lang w:val="el-GR"/>
        </w:rPr>
      </w:pPr>
      <w:r w:rsidRPr="00280A1C">
        <w:rPr>
          <w:lang w:val="el-GR"/>
        </w:rPr>
        <w:lastRenderedPageBreak/>
        <w:t>Τ</w:t>
      </w:r>
      <w:r w:rsidR="00D85689" w:rsidRPr="00280A1C">
        <w:rPr>
          <w:lang w:val="el-GR"/>
        </w:rPr>
        <w:t>ο ποσοστό χρόνου</w:t>
      </w:r>
      <w:r w:rsidR="002A42DE" w:rsidRPr="00280A1C">
        <w:rPr>
          <w:lang w:val="el-GR"/>
        </w:rPr>
        <w:t xml:space="preserve">, </w:t>
      </w:r>
      <w:r w:rsidR="00D85689" w:rsidRPr="00280A1C">
        <w:rPr>
          <w:lang w:val="el-GR"/>
        </w:rPr>
        <w:t>γι</w:t>
      </w:r>
      <w:r w:rsidR="002A42DE" w:rsidRPr="00280A1C">
        <w:rPr>
          <w:lang w:val="el-GR"/>
        </w:rPr>
        <w:t xml:space="preserve">α το οποίο η τάση στο Σύστημα αποκλίνει από τα επιτρεπτά όρια όπως αυτά ορίζονται στον </w:t>
      </w:r>
      <w:r w:rsidR="002A42DE">
        <w:t>SOGL</w:t>
      </w:r>
      <w:r w:rsidR="002A42DE" w:rsidRPr="00280A1C">
        <w:rPr>
          <w:lang w:val="el-GR"/>
        </w:rPr>
        <w:t>,</w:t>
      </w:r>
    </w:p>
    <w:p w14:paraId="27567363" w14:textId="77777777" w:rsidR="002A42DE" w:rsidRPr="00280A1C" w:rsidRDefault="002A42DE" w:rsidP="00280A1C">
      <w:pPr>
        <w:pStyle w:val="a3"/>
        <w:numPr>
          <w:ilvl w:val="0"/>
          <w:numId w:val="43"/>
        </w:numPr>
        <w:jc w:val="both"/>
        <w:rPr>
          <w:lang w:val="el-GR"/>
        </w:rPr>
      </w:pPr>
      <w:r w:rsidRPr="00280A1C">
        <w:rPr>
          <w:lang w:val="el-GR"/>
        </w:rPr>
        <w:t xml:space="preserve">Τον συνολικό αριθμό αποκλίσεων τάσης από τα επιτρεπτά όρια όπως αυτά ορίζονται στον </w:t>
      </w:r>
      <w:r>
        <w:t>SOGL</w:t>
      </w:r>
      <w:r w:rsidR="00280A1C">
        <w:rPr>
          <w:lang w:val="el-GR"/>
        </w:rPr>
        <w:t>.</w:t>
      </w:r>
    </w:p>
    <w:p w14:paraId="3A9569D8" w14:textId="77777777" w:rsidR="00D16D21" w:rsidRDefault="00D16D21" w:rsidP="00343214">
      <w:pPr>
        <w:pStyle w:val="2"/>
        <w:rPr>
          <w:lang w:val="el-GR"/>
        </w:rPr>
      </w:pPr>
    </w:p>
    <w:p w14:paraId="110A44E2" w14:textId="77777777" w:rsidR="000A5F3C" w:rsidRPr="006524B1" w:rsidRDefault="006524B1" w:rsidP="00343214">
      <w:pPr>
        <w:pStyle w:val="2"/>
        <w:rPr>
          <w:lang w:val="el-GR"/>
        </w:rPr>
      </w:pPr>
      <w:bookmarkStart w:id="9" w:name="_Toc100851206"/>
      <w:r>
        <w:rPr>
          <w:lang w:val="el-GR"/>
        </w:rPr>
        <w:t xml:space="preserve">4.3 </w:t>
      </w:r>
      <w:r w:rsidR="00FF717C">
        <w:rPr>
          <w:lang w:val="el-GR"/>
        </w:rPr>
        <w:t>Απορριπτόμενη παραγωγή</w:t>
      </w:r>
      <w:r w:rsidR="00FF717C" w:rsidRPr="00FF717C">
        <w:rPr>
          <w:lang w:val="el-GR"/>
        </w:rPr>
        <w:t xml:space="preserve"> </w:t>
      </w:r>
      <w:r w:rsidR="000A5F3C" w:rsidRPr="006524B1">
        <w:rPr>
          <w:lang w:val="el-GR"/>
        </w:rPr>
        <w:t>των ΑΠΕ</w:t>
      </w:r>
      <w:r w:rsidR="00343214" w:rsidRPr="006524B1">
        <w:rPr>
          <w:lang w:val="el-GR"/>
        </w:rPr>
        <w:t xml:space="preserve"> (</w:t>
      </w:r>
      <w:r w:rsidR="00343214" w:rsidRPr="00343214">
        <w:t>RES</w:t>
      </w:r>
      <w:r w:rsidR="00343214" w:rsidRPr="006524B1">
        <w:rPr>
          <w:lang w:val="el-GR"/>
        </w:rPr>
        <w:t xml:space="preserve"> </w:t>
      </w:r>
      <w:r w:rsidR="00343214" w:rsidRPr="00343214">
        <w:t>Curt</w:t>
      </w:r>
      <w:r w:rsidR="00343214" w:rsidRPr="006524B1">
        <w:rPr>
          <w:lang w:val="el-GR"/>
        </w:rPr>
        <w:t>)</w:t>
      </w:r>
      <w:bookmarkEnd w:id="9"/>
    </w:p>
    <w:p w14:paraId="52015B88" w14:textId="77777777" w:rsidR="000A5F3C" w:rsidRDefault="000A5F3C" w:rsidP="000A5F3C">
      <w:pPr>
        <w:jc w:val="both"/>
        <w:rPr>
          <w:lang w:val="el-GR"/>
        </w:rPr>
      </w:pPr>
      <w:r>
        <w:rPr>
          <w:lang w:val="el-GR"/>
        </w:rPr>
        <w:t>Ο δείκτης</w:t>
      </w:r>
      <w:r w:rsidRPr="00512BB6">
        <w:rPr>
          <w:lang w:val="el-GR"/>
        </w:rPr>
        <w:t xml:space="preserve"> </w:t>
      </w:r>
      <w:r>
        <w:rPr>
          <w:lang w:val="el-GR"/>
        </w:rPr>
        <w:t>για τη μέτρηση της απορριπτόμενης παραγωγής</w:t>
      </w:r>
      <w:r w:rsidR="00BE5962">
        <w:rPr>
          <w:lang w:val="el-GR"/>
        </w:rPr>
        <w:t xml:space="preserve"> των</w:t>
      </w:r>
      <w:r w:rsidRPr="00512BB6">
        <w:rPr>
          <w:lang w:val="el-GR"/>
        </w:rPr>
        <w:t xml:space="preserve"> </w:t>
      </w:r>
      <w:r>
        <w:rPr>
          <w:lang w:val="el-GR"/>
        </w:rPr>
        <w:t>ΑΠΕ</w:t>
      </w:r>
      <w:r w:rsidR="00FF717C" w:rsidRPr="00FF717C">
        <w:rPr>
          <w:lang w:val="el-GR"/>
        </w:rPr>
        <w:t xml:space="preserve"> </w:t>
      </w:r>
      <w:r w:rsidR="00221A95">
        <w:rPr>
          <w:lang w:val="el-GR"/>
        </w:rPr>
        <w:t xml:space="preserve">Συστήματος </w:t>
      </w:r>
      <w:r w:rsidR="004C1B13">
        <w:rPr>
          <w:lang w:val="el-GR"/>
        </w:rPr>
        <w:t>(</w:t>
      </w:r>
      <w:r w:rsidR="004C1B13">
        <w:t>RES</w:t>
      </w:r>
      <w:r w:rsidR="004C1B13" w:rsidRPr="004C1B13">
        <w:rPr>
          <w:lang w:val="el-GR"/>
        </w:rPr>
        <w:t xml:space="preserve"> </w:t>
      </w:r>
      <w:r w:rsidR="004C1B13">
        <w:t>Curtailment</w:t>
      </w:r>
      <w:r w:rsidR="004C1B13" w:rsidRPr="004C1B13">
        <w:rPr>
          <w:lang w:val="el-GR"/>
        </w:rPr>
        <w:t xml:space="preserve">) </w:t>
      </w:r>
      <w:r>
        <w:rPr>
          <w:lang w:val="el-GR"/>
        </w:rPr>
        <w:t xml:space="preserve">μπορεί να οριστεί ως το πηλίκο </w:t>
      </w:r>
      <w:r w:rsidR="00BE5962">
        <w:rPr>
          <w:lang w:val="el-GR"/>
        </w:rPr>
        <w:t>της επιπλέον</w:t>
      </w:r>
      <w:r w:rsidRPr="00512BB6">
        <w:rPr>
          <w:lang w:val="el-GR"/>
        </w:rPr>
        <w:t xml:space="preserve"> ενέργειας που </w:t>
      </w:r>
      <w:r>
        <w:rPr>
          <w:lang w:val="el-GR"/>
        </w:rPr>
        <w:t>θα μπορούσε να παραχθεί από Σταθμούς ΑΠΕ</w:t>
      </w:r>
      <w:r w:rsidR="004C1B13">
        <w:rPr>
          <w:lang w:val="el-GR"/>
        </w:rPr>
        <w:t xml:space="preserve"> Συστήματος</w:t>
      </w:r>
      <w:r>
        <w:rPr>
          <w:lang w:val="el-GR"/>
        </w:rPr>
        <w:t xml:space="preserve">, αλλά δεν εγχέεται στο Σύστημα λόγω της διαδικασίας περικοπής, </w:t>
      </w:r>
      <w:r w:rsidR="00BE5962">
        <w:rPr>
          <w:lang w:val="el-GR"/>
        </w:rPr>
        <w:t>προς τη</w:t>
      </w:r>
      <w:r w:rsidRPr="00512BB6">
        <w:rPr>
          <w:lang w:val="el-GR"/>
        </w:rPr>
        <w:t xml:space="preserve"> σ</w:t>
      </w:r>
      <w:r w:rsidR="00BE5962">
        <w:rPr>
          <w:lang w:val="el-GR"/>
        </w:rPr>
        <w:t>υνολική</w:t>
      </w:r>
      <w:r w:rsidRPr="00512BB6">
        <w:rPr>
          <w:lang w:val="el-GR"/>
        </w:rPr>
        <w:t xml:space="preserve"> </w:t>
      </w:r>
      <w:r w:rsidR="00BE5962">
        <w:rPr>
          <w:lang w:val="el-GR"/>
        </w:rPr>
        <w:t>ετήσια</w:t>
      </w:r>
      <w:r>
        <w:rPr>
          <w:lang w:val="el-GR"/>
        </w:rPr>
        <w:t xml:space="preserve"> </w:t>
      </w:r>
      <w:r w:rsidR="00BE5962">
        <w:rPr>
          <w:lang w:val="el-GR"/>
        </w:rPr>
        <w:t>ενέργεια παραγωγής των</w:t>
      </w:r>
      <w:r w:rsidRPr="00512BB6">
        <w:rPr>
          <w:lang w:val="el-GR"/>
        </w:rPr>
        <w:t xml:space="preserve"> </w:t>
      </w:r>
      <w:r>
        <w:rPr>
          <w:lang w:val="el-GR"/>
        </w:rPr>
        <w:t>ΑΠΕ</w:t>
      </w:r>
      <w:r w:rsidR="00C2240F">
        <w:rPr>
          <w:lang w:val="el-GR"/>
        </w:rPr>
        <w:t xml:space="preserve"> Συστήματος</w:t>
      </w:r>
      <w:r>
        <w:rPr>
          <w:lang w:val="el-GR"/>
        </w:rPr>
        <w:t xml:space="preserve">.   </w:t>
      </w:r>
    </w:p>
    <w:p w14:paraId="19214A8C" w14:textId="77777777" w:rsidR="002D536C" w:rsidRPr="00B6314E" w:rsidRDefault="006524B1" w:rsidP="000A5F3C">
      <w:pPr>
        <w:jc w:val="both"/>
        <w:rPr>
          <w:lang w:val="el-GR"/>
        </w:rPr>
      </w:pPr>
      <w:r w:rsidRPr="006524B1">
        <w:rPr>
          <w:rFonts w:ascii="Arial Black" w:hAnsi="Arial Black"/>
          <w:lang w:val="el-GR"/>
        </w:rPr>
        <w:t>4.3.</w:t>
      </w:r>
      <w:r w:rsidR="004C1B13" w:rsidRPr="004C1B13">
        <w:rPr>
          <w:rFonts w:ascii="Arial Black" w:hAnsi="Arial Black"/>
          <w:lang w:val="el-GR"/>
        </w:rPr>
        <w:t>1</w:t>
      </w:r>
      <w:r w:rsidRPr="006524B1">
        <w:rPr>
          <w:lang w:val="el-GR"/>
        </w:rPr>
        <w:t xml:space="preserve"> </w:t>
      </w:r>
      <w:r w:rsidR="000A5F3C">
        <w:rPr>
          <w:lang w:val="el-GR"/>
        </w:rPr>
        <w:t>Ως περικοπή ορίζεται η μείωση της παραγωγής που προέρχεται αποκλειστικά από μονάδες Ανανεώσιμων Πηγών Ενέργειας</w:t>
      </w:r>
      <w:r w:rsidR="00945C63">
        <w:rPr>
          <w:lang w:val="el-GR"/>
        </w:rPr>
        <w:t xml:space="preserve"> (ΑΠΕ)</w:t>
      </w:r>
      <w:r w:rsidR="000A5F3C">
        <w:rPr>
          <w:lang w:val="el-GR"/>
        </w:rPr>
        <w:t>, ως προς τη μέγιστη διαθέσιμη παραγωγή των εν λόγω μονάδων λόγω</w:t>
      </w:r>
      <w:r w:rsidR="00B52D28" w:rsidRPr="00B52D28">
        <w:rPr>
          <w:lang w:val="el-GR"/>
        </w:rPr>
        <w:t>:</w:t>
      </w:r>
      <w:r w:rsidR="000A5F3C">
        <w:rPr>
          <w:lang w:val="el-GR"/>
        </w:rPr>
        <w:t xml:space="preserve"> </w:t>
      </w:r>
    </w:p>
    <w:p w14:paraId="2D35A40B" w14:textId="77777777" w:rsidR="000A5F3C" w:rsidRPr="002D536C" w:rsidRDefault="00BE5962" w:rsidP="002D536C">
      <w:pPr>
        <w:pStyle w:val="a3"/>
        <w:numPr>
          <w:ilvl w:val="0"/>
          <w:numId w:val="16"/>
        </w:numPr>
        <w:jc w:val="both"/>
        <w:rPr>
          <w:lang w:val="el-GR"/>
        </w:rPr>
      </w:pPr>
      <w:r>
        <w:rPr>
          <w:lang w:val="el-GR"/>
        </w:rPr>
        <w:t xml:space="preserve">τεχνικών περιορισμών </w:t>
      </w:r>
      <w:r w:rsidRPr="00BE5962">
        <w:rPr>
          <w:lang w:val="el-GR"/>
        </w:rPr>
        <w:sym w:font="Wingdings" w:char="F0E0"/>
      </w:r>
      <w:r w:rsidR="00C2240F">
        <w:rPr>
          <w:lang w:val="el-GR"/>
        </w:rPr>
        <w:t xml:space="preserve"> </w:t>
      </w:r>
      <w:r>
        <w:rPr>
          <w:lang w:val="el-GR"/>
        </w:rPr>
        <w:t>επαρκής εφεδρεία λαμβάνοντας υπόψη τα τεχνικά ελάχιστα των Συμβατικών Μονάδων</w:t>
      </w:r>
      <w:r w:rsidR="000A5F3C" w:rsidRPr="002D536C">
        <w:rPr>
          <w:lang w:val="el-GR"/>
        </w:rPr>
        <w:t xml:space="preserve">, </w:t>
      </w:r>
    </w:p>
    <w:p w14:paraId="7DE302E6" w14:textId="77777777" w:rsidR="000A5F3C" w:rsidRPr="00BE5962" w:rsidRDefault="000A5F3C" w:rsidP="002D536C">
      <w:pPr>
        <w:pStyle w:val="a3"/>
        <w:numPr>
          <w:ilvl w:val="0"/>
          <w:numId w:val="16"/>
        </w:numPr>
        <w:jc w:val="both"/>
      </w:pPr>
      <w:r w:rsidRPr="002D536C">
        <w:rPr>
          <w:lang w:val="el-GR"/>
        </w:rPr>
        <w:t>ασφάλεια</w:t>
      </w:r>
      <w:r w:rsidRPr="00BE5962">
        <w:t xml:space="preserve"> </w:t>
      </w:r>
      <w:r w:rsidRPr="002D536C">
        <w:rPr>
          <w:lang w:val="el-GR"/>
        </w:rPr>
        <w:t>λειτουργίας</w:t>
      </w:r>
      <w:r w:rsidRPr="00BE5962">
        <w:t xml:space="preserve"> </w:t>
      </w:r>
      <w:r w:rsidR="00BE5962" w:rsidRPr="00BE5962">
        <w:rPr>
          <w:lang w:val="el-GR"/>
        </w:rPr>
        <w:sym w:font="Wingdings" w:char="F0E0"/>
      </w:r>
      <w:r w:rsidR="00C2240F" w:rsidRPr="00C2240F">
        <w:t xml:space="preserve"> </w:t>
      </w:r>
      <w:r>
        <w:t>voltage</w:t>
      </w:r>
      <w:r w:rsidR="00BE5962" w:rsidRPr="00BE5962">
        <w:t xml:space="preserve"> </w:t>
      </w:r>
      <w:r w:rsidR="00AC33B5">
        <w:t>control</w:t>
      </w:r>
      <w:r w:rsidRPr="00BE5962">
        <w:t xml:space="preserve">, </w:t>
      </w:r>
    </w:p>
    <w:p w14:paraId="08F327A5" w14:textId="77777777" w:rsidR="000A5F3C" w:rsidRPr="002D536C" w:rsidRDefault="000A5F3C" w:rsidP="002D536C">
      <w:pPr>
        <w:pStyle w:val="a3"/>
        <w:numPr>
          <w:ilvl w:val="0"/>
          <w:numId w:val="16"/>
        </w:numPr>
        <w:jc w:val="both"/>
        <w:rPr>
          <w:lang w:val="el-GR"/>
        </w:rPr>
      </w:pPr>
      <w:r w:rsidRPr="002D536C">
        <w:rPr>
          <w:lang w:val="el-GR"/>
        </w:rPr>
        <w:t xml:space="preserve">πλεονάζουσα παραγωγή σε σχέση με τα επίπεδα φορτίου, </w:t>
      </w:r>
    </w:p>
    <w:p w14:paraId="7344A29B" w14:textId="77777777" w:rsidR="002315E9" w:rsidRDefault="000A5F3C" w:rsidP="002315E9">
      <w:pPr>
        <w:pStyle w:val="a3"/>
        <w:numPr>
          <w:ilvl w:val="0"/>
          <w:numId w:val="16"/>
        </w:numPr>
        <w:jc w:val="both"/>
        <w:rPr>
          <w:lang w:val="el-GR"/>
        </w:rPr>
      </w:pPr>
      <w:r w:rsidRPr="002D536C">
        <w:rPr>
          <w:lang w:val="el-GR"/>
        </w:rPr>
        <w:t>διαχείρισης συμφορή</w:t>
      </w:r>
      <w:r w:rsidR="00BE5962">
        <w:rPr>
          <w:lang w:val="el-GR"/>
        </w:rPr>
        <w:t xml:space="preserve">σεων </w:t>
      </w:r>
      <w:r w:rsidR="00BE5962">
        <w:sym w:font="Wingdings" w:char="F0E0"/>
      </w:r>
      <w:r w:rsidR="00C2240F">
        <w:rPr>
          <w:lang w:val="el-GR"/>
        </w:rPr>
        <w:t xml:space="preserve"> </w:t>
      </w:r>
      <w:r w:rsidR="00BE5962">
        <w:t>congestion management</w:t>
      </w:r>
      <w:r w:rsidRPr="002D536C">
        <w:rPr>
          <w:lang w:val="el-GR"/>
        </w:rPr>
        <w:t>.</w:t>
      </w:r>
    </w:p>
    <w:p w14:paraId="2B1F00F5" w14:textId="77777777" w:rsidR="006524B1" w:rsidRPr="00EB06CA" w:rsidRDefault="006524B1" w:rsidP="006524B1">
      <w:pPr>
        <w:rPr>
          <w:rFonts w:eastAsiaTheme="minorEastAsia"/>
          <w:bCs/>
          <w:iCs/>
          <w:lang w:val="el-GR"/>
        </w:rPr>
      </w:pPr>
      <w:r w:rsidRPr="006524B1">
        <w:rPr>
          <w:rFonts w:ascii="Arial Black" w:eastAsiaTheme="minorEastAsia" w:hAnsi="Arial Black"/>
          <w:bCs/>
          <w:iCs/>
          <w:lang w:val="el-GR"/>
        </w:rPr>
        <w:t>4.3.</w:t>
      </w:r>
      <w:r w:rsidR="00EB2DD4">
        <w:rPr>
          <w:rFonts w:ascii="Arial Black" w:eastAsiaTheme="minorEastAsia" w:hAnsi="Arial Black"/>
          <w:bCs/>
          <w:iCs/>
          <w:lang w:val="el-GR"/>
        </w:rPr>
        <w:t>2</w:t>
      </w:r>
      <w:r>
        <w:rPr>
          <w:rFonts w:eastAsiaTheme="minorEastAsia"/>
          <w:bCs/>
          <w:iCs/>
          <w:lang w:val="el-GR"/>
        </w:rPr>
        <w:t xml:space="preserve"> </w:t>
      </w:r>
      <w:r w:rsidR="00EB06CA">
        <w:rPr>
          <w:rFonts w:eastAsiaTheme="minorEastAsia"/>
          <w:bCs/>
          <w:iCs/>
          <w:lang w:val="el-GR"/>
        </w:rPr>
        <w:t xml:space="preserve"> </w:t>
      </w:r>
      <w:r w:rsidRPr="00EB06CA">
        <w:rPr>
          <w:rFonts w:eastAsiaTheme="minorEastAsia"/>
          <w:bCs/>
          <w:iCs/>
          <w:lang w:val="el-GR"/>
        </w:rPr>
        <w:t>Ο τύπος υπολογισμού της απορριπτόμενης παραγωγής ΑΠΕ</w:t>
      </w:r>
      <w:r w:rsidR="00BE5962" w:rsidRPr="00EB06CA">
        <w:rPr>
          <w:rFonts w:eastAsiaTheme="minorEastAsia"/>
          <w:bCs/>
          <w:iCs/>
          <w:lang w:val="el-GR"/>
        </w:rPr>
        <w:t xml:space="preserve"> για </w:t>
      </w:r>
      <w:r w:rsidR="00EB06CA">
        <w:rPr>
          <w:rFonts w:eastAsiaTheme="minorEastAsia"/>
          <w:bCs/>
          <w:iCs/>
          <w:lang w:val="el-GR"/>
        </w:rPr>
        <w:t>μία εξεταζόμενη χρονική περίοδο «</w:t>
      </w:r>
      <w:r w:rsidR="00EB06CA">
        <w:rPr>
          <w:rFonts w:eastAsiaTheme="minorEastAsia"/>
          <w:bCs/>
          <w:iCs/>
        </w:rPr>
        <w:t>n</w:t>
      </w:r>
      <w:r w:rsidR="00EB06CA">
        <w:rPr>
          <w:rFonts w:eastAsiaTheme="minorEastAsia"/>
          <w:bCs/>
          <w:iCs/>
          <w:lang w:val="el-GR"/>
        </w:rPr>
        <w:t>»</w:t>
      </w:r>
      <w:r w:rsidR="004C0276" w:rsidRPr="00EB06CA">
        <w:rPr>
          <w:rFonts w:eastAsiaTheme="minorEastAsia"/>
          <w:bCs/>
          <w:iCs/>
          <w:lang w:val="el-GR"/>
        </w:rPr>
        <w:t>:</w:t>
      </w:r>
    </w:p>
    <w:p w14:paraId="5F74792A" w14:textId="77777777" w:rsidR="00B52D28" w:rsidRPr="00EB06CA" w:rsidRDefault="00B52D28" w:rsidP="00B52D28">
      <w:pPr>
        <w:ind w:left="360"/>
        <w:rPr>
          <w:rFonts w:eastAsiaTheme="minorEastAsia"/>
          <w:b/>
          <w:bCs/>
        </w:rPr>
      </w:pPr>
      <m:oMathPara>
        <m:oMathParaPr>
          <m:jc m:val="center"/>
        </m:oMathParaPr>
        <m:oMath>
          <m:r>
            <m:rPr>
              <m:sty m:val="bi"/>
            </m:rPr>
            <w:rPr>
              <w:rFonts w:ascii="Cambria Math" w:hAnsi="Cambria Math"/>
            </w:rPr>
            <m:t xml:space="preserve">RES Curt= </m:t>
          </m:r>
          <m:f>
            <m:fPr>
              <m:ctrlPr>
                <w:rPr>
                  <w:rFonts w:ascii="Cambria Math" w:hAnsi="Cambria Math"/>
                  <w:b/>
                  <w:bCs/>
                  <w:i/>
                </w:rPr>
              </m:ctrlPr>
            </m:fPr>
            <m:num>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ENLi</m:t>
                  </m:r>
                </m:e>
              </m:nary>
            </m:num>
            <m:den>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ERESi</m:t>
                  </m:r>
                </m:e>
              </m:nary>
            </m:den>
          </m:f>
        </m:oMath>
      </m:oMathPara>
    </w:p>
    <w:p w14:paraId="12592903" w14:textId="77777777" w:rsidR="00B52D28" w:rsidRPr="00EB06CA" w:rsidRDefault="00B52D28" w:rsidP="00B52D28">
      <w:pPr>
        <w:rPr>
          <w:lang w:val="el-GR"/>
        </w:rPr>
      </w:pPr>
      <w:r w:rsidRPr="00EB06CA">
        <w:rPr>
          <w:lang w:val="el-GR"/>
        </w:rPr>
        <w:t>Όπου:</w:t>
      </w:r>
    </w:p>
    <w:p w14:paraId="01870906" w14:textId="77777777" w:rsidR="00B52D28" w:rsidRPr="00EB06CA" w:rsidRDefault="00B52D28" w:rsidP="006524B1">
      <w:pPr>
        <w:pStyle w:val="a3"/>
        <w:numPr>
          <w:ilvl w:val="0"/>
          <w:numId w:val="30"/>
        </w:numPr>
        <w:jc w:val="both"/>
        <w:rPr>
          <w:b/>
          <w:lang w:val="el-GR"/>
        </w:rPr>
      </w:pPr>
      <w:r w:rsidRPr="00EB06CA">
        <w:t>ENLi</w:t>
      </w:r>
      <w:r w:rsidRPr="00EB06CA">
        <w:rPr>
          <w:lang w:val="el-GR"/>
        </w:rPr>
        <w:t xml:space="preserve">: </w:t>
      </w:r>
      <w:r w:rsidR="006524B1" w:rsidRPr="00EB06CA">
        <w:rPr>
          <w:lang w:val="el-GR"/>
        </w:rPr>
        <w:t>Η</w:t>
      </w:r>
      <w:r w:rsidRPr="00EB06CA">
        <w:rPr>
          <w:lang w:val="el-GR"/>
        </w:rPr>
        <w:t xml:space="preserve"> </w:t>
      </w:r>
      <w:r w:rsidR="00EB06CA">
        <w:rPr>
          <w:lang w:val="el-GR"/>
        </w:rPr>
        <w:t xml:space="preserve">συνολική </w:t>
      </w:r>
      <w:r w:rsidRPr="00EB06CA">
        <w:rPr>
          <w:lang w:val="el-GR"/>
        </w:rPr>
        <w:t>απορριπτόμενη ενέργεια</w:t>
      </w:r>
      <w:r w:rsidR="006524B1" w:rsidRPr="00EB06CA">
        <w:rPr>
          <w:lang w:val="el-GR"/>
        </w:rPr>
        <w:t xml:space="preserve"> </w:t>
      </w:r>
      <w:r w:rsidR="00EB06CA">
        <w:rPr>
          <w:lang w:val="el-GR"/>
        </w:rPr>
        <w:t>για κάθε χρονικό</w:t>
      </w:r>
      <w:r w:rsidR="00EB06CA" w:rsidRPr="00EB06CA">
        <w:rPr>
          <w:lang w:val="el-GR"/>
        </w:rPr>
        <w:t xml:space="preserve"> </w:t>
      </w:r>
      <w:r w:rsidR="00EB06CA">
        <w:rPr>
          <w:lang w:val="el-GR"/>
        </w:rPr>
        <w:t>βήμα</w:t>
      </w:r>
      <w:r w:rsidR="006524B1" w:rsidRPr="00EB06CA">
        <w:rPr>
          <w:lang w:val="el-GR"/>
        </w:rPr>
        <w:t xml:space="preserve"> </w:t>
      </w:r>
      <w:r w:rsidR="00835521" w:rsidRPr="00EB06CA">
        <w:rPr>
          <w:lang w:val="el-GR"/>
        </w:rPr>
        <w:t>«</w:t>
      </w:r>
      <w:r w:rsidR="00EB06CA">
        <w:t>i</w:t>
      </w:r>
      <w:r w:rsidR="00835521" w:rsidRPr="00EB06CA">
        <w:rPr>
          <w:lang w:val="el-GR"/>
        </w:rPr>
        <w:t>»</w:t>
      </w:r>
      <w:r w:rsidR="006524B1" w:rsidRPr="00EB06CA">
        <w:rPr>
          <w:lang w:val="el-GR"/>
        </w:rPr>
        <w:t>,</w:t>
      </w:r>
      <w:r w:rsidRPr="00EB06CA">
        <w:rPr>
          <w:lang w:val="el-GR"/>
        </w:rPr>
        <w:t xml:space="preserve"> λόγω της διαδικασίας περικοπής των Σταθμών ΑΠΕ </w:t>
      </w:r>
      <w:r w:rsidR="00E655A7" w:rsidRPr="00EB06CA">
        <w:rPr>
          <w:lang w:val="el-GR"/>
        </w:rPr>
        <w:t>(</w:t>
      </w:r>
      <w:r w:rsidRPr="00EB06CA">
        <w:rPr>
          <w:lang w:val="el-GR"/>
        </w:rPr>
        <w:t xml:space="preserve">σε </w:t>
      </w:r>
      <w:r w:rsidRPr="00EB06CA">
        <w:t>MWh</w:t>
      </w:r>
      <w:r w:rsidRPr="00EB06CA">
        <w:rPr>
          <w:lang w:val="el-GR"/>
        </w:rPr>
        <w:t xml:space="preserve">) </w:t>
      </w:r>
    </w:p>
    <w:p w14:paraId="3471CFBF" w14:textId="77777777" w:rsidR="00B52D28" w:rsidRPr="00EB06CA" w:rsidRDefault="00B52D28" w:rsidP="006524B1">
      <w:pPr>
        <w:pStyle w:val="a3"/>
        <w:numPr>
          <w:ilvl w:val="0"/>
          <w:numId w:val="30"/>
        </w:numPr>
        <w:jc w:val="both"/>
        <w:rPr>
          <w:lang w:val="el-GR"/>
        </w:rPr>
      </w:pPr>
      <w:r w:rsidRPr="00EB06CA">
        <w:t>ERESj</w:t>
      </w:r>
      <w:r w:rsidRPr="00EB06CA">
        <w:rPr>
          <w:lang w:val="el-GR"/>
        </w:rPr>
        <w:t xml:space="preserve">: Συνολική ενέργεια που παράγεται </w:t>
      </w:r>
      <w:r w:rsidR="00EB06CA">
        <w:rPr>
          <w:lang w:val="el-GR"/>
        </w:rPr>
        <w:t>για κάθε χρονικό βήμα</w:t>
      </w:r>
      <w:r w:rsidR="006524B1" w:rsidRPr="00EB06CA">
        <w:rPr>
          <w:lang w:val="el-GR"/>
        </w:rPr>
        <w:t xml:space="preserve"> </w:t>
      </w:r>
      <w:r w:rsidR="00835521" w:rsidRPr="00EB06CA">
        <w:rPr>
          <w:lang w:val="el-GR"/>
        </w:rPr>
        <w:t>«</w:t>
      </w:r>
      <w:r w:rsidR="00EB06CA">
        <w:t>i</w:t>
      </w:r>
      <w:r w:rsidR="00835521" w:rsidRPr="00EB06CA">
        <w:rPr>
          <w:lang w:val="el-GR"/>
        </w:rPr>
        <w:t>»</w:t>
      </w:r>
      <w:r w:rsidR="006524B1" w:rsidRPr="00EB06CA">
        <w:rPr>
          <w:lang w:val="el-GR"/>
        </w:rPr>
        <w:t xml:space="preserve">, </w:t>
      </w:r>
      <w:r w:rsidR="00224153" w:rsidRPr="00EB06CA">
        <w:rPr>
          <w:lang w:val="el-GR"/>
        </w:rPr>
        <w:t xml:space="preserve">από το Σύνολο των </w:t>
      </w:r>
      <w:r w:rsidRPr="00EB06CA">
        <w:rPr>
          <w:lang w:val="el-GR"/>
        </w:rPr>
        <w:t xml:space="preserve">Σταθμών ΑΠΕ (σε </w:t>
      </w:r>
      <w:r w:rsidRPr="00EB06CA">
        <w:t>MWh</w:t>
      </w:r>
      <w:r w:rsidRPr="00EB06CA">
        <w:rPr>
          <w:lang w:val="el-GR"/>
        </w:rPr>
        <w:t>)</w:t>
      </w:r>
    </w:p>
    <w:p w14:paraId="0D3B9E72" w14:textId="77777777" w:rsidR="00B52D28" w:rsidRPr="006524B1" w:rsidRDefault="006524B1" w:rsidP="00B52D28">
      <w:pPr>
        <w:jc w:val="both"/>
        <w:rPr>
          <w:lang w:val="el-GR"/>
        </w:rPr>
      </w:pPr>
      <w:r w:rsidRPr="00EB06CA">
        <w:rPr>
          <w:rFonts w:ascii="Arial Black" w:hAnsi="Arial Black"/>
          <w:lang w:val="el-GR"/>
        </w:rPr>
        <w:t>4.3.</w:t>
      </w:r>
      <w:r w:rsidR="00EB2DD4">
        <w:rPr>
          <w:rFonts w:ascii="Arial Black" w:hAnsi="Arial Black"/>
          <w:lang w:val="el-GR"/>
        </w:rPr>
        <w:t>3</w:t>
      </w:r>
      <w:r w:rsidRPr="00EB06CA">
        <w:rPr>
          <w:lang w:val="el-GR"/>
        </w:rPr>
        <w:t xml:space="preserve"> </w:t>
      </w:r>
      <w:r w:rsidR="00EB06CA">
        <w:rPr>
          <w:lang w:val="el-GR"/>
        </w:rPr>
        <w:t xml:space="preserve"> Στην ετήσια έκθεση του ο Διαχειριστής θα διευκρινίζει τον τρόπο </w:t>
      </w:r>
      <w:r w:rsidR="00B52D28" w:rsidRPr="00EB06CA">
        <w:rPr>
          <w:lang w:val="el-GR"/>
        </w:rPr>
        <w:t>υπολογισμού</w:t>
      </w:r>
      <w:r w:rsidR="00EB06CA">
        <w:rPr>
          <w:lang w:val="el-GR"/>
        </w:rPr>
        <w:t>/εκτίμησης</w:t>
      </w:r>
      <w:r w:rsidR="00B52D28" w:rsidRPr="00EB06CA">
        <w:rPr>
          <w:lang w:val="el-GR"/>
        </w:rPr>
        <w:t xml:space="preserve"> της απορριπτόμενης ενέργειας</w:t>
      </w:r>
      <w:r w:rsidR="00FF717C" w:rsidRPr="00EB06CA">
        <w:rPr>
          <w:lang w:val="el-GR"/>
        </w:rPr>
        <w:t xml:space="preserve"> </w:t>
      </w:r>
      <w:r w:rsidR="004C0276" w:rsidRPr="00EB06CA">
        <w:t>ENLi</w:t>
      </w:r>
      <w:r w:rsidR="00BE5962" w:rsidRPr="00EB06CA">
        <w:rPr>
          <w:lang w:val="el-GR"/>
        </w:rPr>
        <w:t xml:space="preserve"> </w:t>
      </w:r>
      <w:r w:rsidR="00FF717C" w:rsidRPr="00EB06CA">
        <w:rPr>
          <w:lang w:val="el-GR"/>
        </w:rPr>
        <w:t xml:space="preserve">σε </w:t>
      </w:r>
      <w:r w:rsidR="00FF717C" w:rsidRPr="00EB06CA">
        <w:t>MWh</w:t>
      </w:r>
      <w:r w:rsidR="00B52D28" w:rsidRPr="00EB06CA">
        <w:rPr>
          <w:lang w:val="el-GR"/>
        </w:rPr>
        <w:t xml:space="preserve"> για κάθε </w:t>
      </w:r>
      <w:r w:rsidR="00BE5962" w:rsidRPr="00EB06CA">
        <w:rPr>
          <w:lang w:val="el-GR"/>
        </w:rPr>
        <w:t>περίπτωση</w:t>
      </w:r>
      <w:r w:rsidR="00EB06CA">
        <w:rPr>
          <w:lang w:val="el-GR"/>
        </w:rPr>
        <w:t xml:space="preserve"> περικοπής</w:t>
      </w:r>
      <w:r w:rsidR="00B52D28" w:rsidRPr="00EB06CA">
        <w:rPr>
          <w:lang w:val="el-GR"/>
        </w:rPr>
        <w:t>.</w:t>
      </w:r>
    </w:p>
    <w:p w14:paraId="433A220A" w14:textId="77777777" w:rsidR="00615F92" w:rsidRDefault="006524B1" w:rsidP="00615F92">
      <w:pPr>
        <w:jc w:val="both"/>
        <w:rPr>
          <w:lang w:val="el-GR"/>
        </w:rPr>
      </w:pPr>
      <w:r w:rsidRPr="006524B1">
        <w:rPr>
          <w:rFonts w:ascii="Arial Black" w:hAnsi="Arial Black"/>
          <w:lang w:val="el-GR"/>
        </w:rPr>
        <w:t>4.3.</w:t>
      </w:r>
      <w:r w:rsidR="00EB2DD4">
        <w:rPr>
          <w:rFonts w:ascii="Arial Black" w:hAnsi="Arial Black"/>
          <w:lang w:val="el-GR"/>
        </w:rPr>
        <w:t>4</w:t>
      </w:r>
      <w:r w:rsidRPr="006524B1">
        <w:rPr>
          <w:lang w:val="el-GR"/>
        </w:rPr>
        <w:t xml:space="preserve"> </w:t>
      </w:r>
      <w:r w:rsidR="00EB06CA">
        <w:rPr>
          <w:lang w:val="el-GR"/>
        </w:rPr>
        <w:t xml:space="preserve"> </w:t>
      </w:r>
      <w:r w:rsidR="00945C63" w:rsidRPr="00945C63">
        <w:rPr>
          <w:lang w:val="el-GR"/>
        </w:rPr>
        <w:t>Ο Διαχειριστής του Συστήματος θα παρουσιάζει στην έκθεση του γραφικά, για κάθε μήνα του έτους αναφοράς και σε αντιδιαστολή με τον αντίστοιχο μήνα του προηγούμενου έτους, την υπολογισμένη τιμή του δείκτη RES Curt, με διάκριση μεταξύ των</w:t>
      </w:r>
      <w:r w:rsidR="00BE5962">
        <w:rPr>
          <w:lang w:val="el-GR"/>
        </w:rPr>
        <w:t xml:space="preserve"> </w:t>
      </w:r>
      <w:r w:rsidR="004C1B13">
        <w:rPr>
          <w:lang w:val="el-GR"/>
        </w:rPr>
        <w:t>προαναφερθέντων</w:t>
      </w:r>
      <w:r w:rsidR="00945C63" w:rsidRPr="00945C63">
        <w:rPr>
          <w:lang w:val="el-GR"/>
        </w:rPr>
        <w:t xml:space="preserve"> </w:t>
      </w:r>
      <w:r w:rsidR="004C1B13">
        <w:rPr>
          <w:lang w:val="el-GR"/>
        </w:rPr>
        <w:t xml:space="preserve">στην ενότητα 4.3.1 </w:t>
      </w:r>
      <w:r w:rsidR="00945C63" w:rsidRPr="00945C63">
        <w:rPr>
          <w:lang w:val="el-GR"/>
        </w:rPr>
        <w:t>λόγων που οδήγησαν σε περικοπή.</w:t>
      </w:r>
    </w:p>
    <w:p w14:paraId="64E32F4B" w14:textId="3BB3FD5C" w:rsidR="00A66165" w:rsidRDefault="00A66165" w:rsidP="0095570B">
      <w:pPr>
        <w:pStyle w:val="2"/>
        <w:rPr>
          <w:lang w:val="el-GR"/>
        </w:rPr>
      </w:pPr>
    </w:p>
    <w:p w14:paraId="030B7E41" w14:textId="77777777" w:rsidR="00AA2BF2" w:rsidRPr="00AA2BF2" w:rsidRDefault="00AA2BF2" w:rsidP="00AA2BF2">
      <w:pPr>
        <w:rPr>
          <w:lang w:val="el-GR"/>
        </w:rPr>
      </w:pPr>
    </w:p>
    <w:p w14:paraId="2311C1AE" w14:textId="30707271" w:rsidR="000A5F3C" w:rsidRPr="001F02BC" w:rsidRDefault="0095570B" w:rsidP="0095570B">
      <w:pPr>
        <w:pStyle w:val="2"/>
        <w:rPr>
          <w:lang w:val="el-GR"/>
        </w:rPr>
      </w:pPr>
      <w:bookmarkStart w:id="10" w:name="_Toc100851207"/>
      <w:r w:rsidRPr="001F02BC">
        <w:rPr>
          <w:lang w:val="el-GR"/>
        </w:rPr>
        <w:lastRenderedPageBreak/>
        <w:t xml:space="preserve">4.4 </w:t>
      </w:r>
      <w:r w:rsidR="00DF0EB5">
        <w:rPr>
          <w:lang w:val="el-GR"/>
        </w:rPr>
        <w:t>Α</w:t>
      </w:r>
      <w:r w:rsidR="00DF0EB5" w:rsidRPr="001F02BC">
        <w:rPr>
          <w:lang w:val="el-GR"/>
        </w:rPr>
        <w:t>π</w:t>
      </w:r>
      <w:r w:rsidR="00DF0EB5">
        <w:rPr>
          <w:lang w:val="el-GR"/>
        </w:rPr>
        <w:t>ώλειες</w:t>
      </w:r>
      <w:r w:rsidR="000A5F3C" w:rsidRPr="001F02BC">
        <w:rPr>
          <w:lang w:val="el-GR"/>
        </w:rPr>
        <w:t xml:space="preserve"> Συστήματος</w:t>
      </w:r>
      <w:bookmarkEnd w:id="10"/>
    </w:p>
    <w:p w14:paraId="7B3FFB36" w14:textId="77777777" w:rsidR="001302C8" w:rsidRPr="00AF380D" w:rsidRDefault="000A5F3C" w:rsidP="00D33787">
      <w:pPr>
        <w:jc w:val="both"/>
        <w:rPr>
          <w:lang w:val="el-GR"/>
        </w:rPr>
      </w:pPr>
      <w:r w:rsidRPr="001F02BC">
        <w:rPr>
          <w:lang w:val="el-GR"/>
        </w:rPr>
        <w:t xml:space="preserve">Οι απώλειες του Συστήματος είναι η διαφορά μεταξύ της ποσότητας ηλεκτρικής ενέργειας που </w:t>
      </w:r>
      <w:r w:rsidR="00F15E6A">
        <w:rPr>
          <w:lang w:val="el-GR"/>
        </w:rPr>
        <w:t>εγχέεται</w:t>
      </w:r>
      <w:r w:rsidRPr="001F02BC">
        <w:rPr>
          <w:lang w:val="el-GR"/>
        </w:rPr>
        <w:t xml:space="preserve"> στο Σύστημα του ΕΣΜΗΕ</w:t>
      </w:r>
      <w:r w:rsidR="00F15E6A">
        <w:rPr>
          <w:lang w:val="el-GR"/>
        </w:rPr>
        <w:t xml:space="preserve">, </w:t>
      </w:r>
      <w:r w:rsidRPr="001F02BC">
        <w:rPr>
          <w:lang w:val="el-GR"/>
        </w:rPr>
        <w:t xml:space="preserve">και της αθροιστικής ποσότητας ηλεκτρικής ενέργειας που </w:t>
      </w:r>
      <w:r w:rsidR="00F15E6A">
        <w:rPr>
          <w:lang w:val="el-GR"/>
        </w:rPr>
        <w:t>απορροφάται από τους</w:t>
      </w:r>
      <w:r w:rsidR="001F02BC">
        <w:rPr>
          <w:lang w:val="el-GR"/>
        </w:rPr>
        <w:t xml:space="preserve"> Χρήστες του Συστήματος</w:t>
      </w:r>
      <w:r w:rsidRPr="00FB6406">
        <w:rPr>
          <w:lang w:val="el-GR"/>
        </w:rPr>
        <w:t>.</w:t>
      </w:r>
      <w:r>
        <w:rPr>
          <w:lang w:val="el-GR"/>
        </w:rPr>
        <w:t xml:space="preserve"> </w:t>
      </w:r>
    </w:p>
    <w:p w14:paraId="60954000" w14:textId="77777777" w:rsidR="00224153" w:rsidRDefault="00224153" w:rsidP="00976CE6">
      <w:pPr>
        <w:jc w:val="both"/>
        <w:rPr>
          <w:lang w:val="el-GR"/>
        </w:rPr>
      </w:pPr>
      <w:r w:rsidRPr="00224153">
        <w:rPr>
          <w:rFonts w:ascii="Arial Black" w:hAnsi="Arial Black"/>
          <w:lang w:val="el-GR"/>
        </w:rPr>
        <w:t>4.4.1</w:t>
      </w:r>
      <w:r w:rsidRPr="00224153">
        <w:rPr>
          <w:lang w:val="el-GR"/>
        </w:rPr>
        <w:t xml:space="preserve"> </w:t>
      </w:r>
      <w:r>
        <w:rPr>
          <w:lang w:val="el-GR"/>
        </w:rPr>
        <w:t xml:space="preserve">Ο </w:t>
      </w:r>
      <w:r w:rsidRPr="003F165A">
        <w:rPr>
          <w:lang w:val="el-GR"/>
        </w:rPr>
        <w:t>Υπολογισμός δείκτη</w:t>
      </w:r>
      <w:r>
        <w:rPr>
          <w:lang w:val="el-GR"/>
        </w:rPr>
        <w:t xml:space="preserve"> μέτρησης</w:t>
      </w:r>
      <w:r w:rsidRPr="003F165A">
        <w:rPr>
          <w:lang w:val="el-GR"/>
        </w:rPr>
        <w:t xml:space="preserve"> Απω</w:t>
      </w:r>
      <w:r>
        <w:rPr>
          <w:lang w:val="el-GR"/>
        </w:rPr>
        <w:t>λειών Συστήματος Μεταφοράς</w:t>
      </w:r>
      <w:r w:rsidR="007D7F8A">
        <w:rPr>
          <w:lang w:val="el-GR"/>
        </w:rPr>
        <w:t xml:space="preserve"> για το έτος αναφοράς θα</w:t>
      </w:r>
      <w:r w:rsidR="007D7F8A" w:rsidRPr="007D7F8A">
        <w:rPr>
          <w:lang w:val="el-GR"/>
        </w:rPr>
        <w:t xml:space="preserve"> </w:t>
      </w:r>
      <w:r>
        <w:rPr>
          <w:lang w:val="el-GR"/>
        </w:rPr>
        <w:t xml:space="preserve"> γίνεται ως εξής</w:t>
      </w:r>
      <w:r w:rsidRPr="003F165A">
        <w:rPr>
          <w:lang w:val="el-GR"/>
        </w:rPr>
        <w:t>:</w:t>
      </w:r>
      <w:r>
        <w:rPr>
          <w:lang w:val="el-GR"/>
        </w:rPr>
        <w:t xml:space="preserve"> </w:t>
      </w:r>
    </w:p>
    <w:p w14:paraId="58C523BA" w14:textId="1387E49D" w:rsidR="00224153" w:rsidRDefault="00224153" w:rsidP="007D7F8A">
      <w:pPr>
        <w:jc w:val="center"/>
        <w:rPr>
          <w:rFonts w:eastAsiaTheme="minorEastAsia"/>
          <w:b/>
          <w:bCs/>
          <w:i/>
          <w:lang w:val="el-GR"/>
        </w:rPr>
      </w:pPr>
      <m:oMathPara>
        <m:oMath>
          <m:r>
            <m:rPr>
              <m:sty m:val="bi"/>
            </m:rPr>
            <w:rPr>
              <w:rFonts w:ascii="Cambria Math" w:hAnsi="Cambria Math"/>
              <w:lang w:val="el-GR"/>
            </w:rPr>
            <m:t>%</m:t>
          </m:r>
          <m:r>
            <m:rPr>
              <m:sty m:val="bi"/>
            </m:rPr>
            <w:rPr>
              <w:rFonts w:ascii="Cambria Math" w:hAnsi="Cambria Math"/>
            </w:rPr>
            <m:t>System losses</m:t>
          </m:r>
          <m:r>
            <m:rPr>
              <m:sty m:val="bi"/>
            </m:rPr>
            <w:rPr>
              <w:rFonts w:ascii="Cambria Math" w:hAnsi="Cambria Math"/>
              <w:lang w:val="el-GR"/>
            </w:rPr>
            <m:t xml:space="preserve">= </m:t>
          </m:r>
          <m:f>
            <m:fPr>
              <m:ctrlPr>
                <w:rPr>
                  <w:rFonts w:ascii="Cambria Math" w:hAnsi="Cambria Math"/>
                  <w:b/>
                  <w:bCs/>
                  <w:i/>
                  <w:lang w:val="el-GR"/>
                </w:rPr>
              </m:ctrlPr>
            </m:fPr>
            <m:num>
              <m:nary>
                <m:naryPr>
                  <m:chr m:val="∑"/>
                  <m:limLoc m:val="undOvr"/>
                  <m:subHide m:val="1"/>
                  <m:supHide m:val="1"/>
                  <m:ctrlPr>
                    <w:rPr>
                      <w:rFonts w:ascii="Cambria Math" w:hAnsi="Cambria Math"/>
                      <w:b/>
                      <w:bCs/>
                      <w:i/>
                      <w:lang w:val="el-GR"/>
                    </w:rPr>
                  </m:ctrlPr>
                </m:naryPr>
                <m:sub/>
                <m:sup/>
                <m:e>
                  <m:r>
                    <m:rPr>
                      <m:sty m:val="bi"/>
                    </m:rPr>
                    <w:rPr>
                      <w:rFonts w:ascii="Cambria Math" w:hAnsi="Cambria Math"/>
                    </w:rPr>
                    <m:t>EG</m:t>
                  </m:r>
                </m:e>
              </m:nary>
              <m:r>
                <m:rPr>
                  <m:sty m:val="bi"/>
                </m:rPr>
                <w:rPr>
                  <w:rFonts w:ascii="Cambria Math" w:hAnsi="Cambria Math"/>
                  <w:lang w:val="el-GR"/>
                </w:rPr>
                <m:t>-</m:t>
              </m:r>
              <m:nary>
                <m:naryPr>
                  <m:chr m:val="∑"/>
                  <m:limLoc m:val="undOvr"/>
                  <m:subHide m:val="1"/>
                  <m:supHide m:val="1"/>
                  <m:ctrlPr>
                    <w:rPr>
                      <w:rFonts w:ascii="Cambria Math" w:hAnsi="Cambria Math"/>
                      <w:b/>
                      <w:bCs/>
                      <w:i/>
                      <w:lang w:val="el-GR"/>
                    </w:rPr>
                  </m:ctrlPr>
                </m:naryPr>
                <m:sub/>
                <m:sup/>
                <m:e>
                  <m:r>
                    <m:rPr>
                      <m:sty m:val="bi"/>
                    </m:rPr>
                    <w:rPr>
                      <w:rFonts w:ascii="Cambria Math" w:hAnsi="Cambria Math"/>
                      <w:lang w:val="el-GR"/>
                    </w:rPr>
                    <m:t>ET</m:t>
                  </m:r>
                </m:e>
              </m:nary>
            </m:num>
            <m:den>
              <m:nary>
                <m:naryPr>
                  <m:chr m:val="∑"/>
                  <m:limLoc m:val="undOvr"/>
                  <m:subHide m:val="1"/>
                  <m:supHide m:val="1"/>
                  <m:ctrlPr>
                    <w:rPr>
                      <w:rFonts w:ascii="Cambria Math" w:hAnsi="Cambria Math"/>
                      <w:b/>
                      <w:bCs/>
                      <w:i/>
                      <w:lang w:val="el-GR"/>
                    </w:rPr>
                  </m:ctrlPr>
                </m:naryPr>
                <m:sub/>
                <m:sup/>
                <m:e>
                  <m:r>
                    <m:rPr>
                      <m:sty m:val="bi"/>
                    </m:rPr>
                    <w:rPr>
                      <w:rFonts w:ascii="Cambria Math" w:hAnsi="Cambria Math"/>
                      <w:lang w:val="el-GR"/>
                    </w:rPr>
                    <m:t>EG</m:t>
                  </m:r>
                </m:e>
              </m:nary>
            </m:den>
          </m:f>
        </m:oMath>
      </m:oMathPara>
    </w:p>
    <w:p w14:paraId="1DF88DB5" w14:textId="77777777" w:rsidR="00224153" w:rsidRPr="00224153" w:rsidRDefault="00224153" w:rsidP="00976CE6">
      <w:pPr>
        <w:jc w:val="both"/>
        <w:rPr>
          <w:rFonts w:eastAsiaTheme="minorEastAsia"/>
          <w:b/>
          <w:bCs/>
          <w:i/>
          <w:lang w:val="el-GR"/>
        </w:rPr>
      </w:pPr>
      <w:r w:rsidRPr="00224153">
        <w:rPr>
          <w:rFonts w:eastAsiaTheme="minorEastAsia"/>
          <w:b/>
          <w:bCs/>
          <w:lang w:val="el-GR"/>
        </w:rPr>
        <w:t xml:space="preserve"> </w:t>
      </w:r>
      <w:r w:rsidRPr="00224153">
        <w:rPr>
          <w:rFonts w:eastAsiaTheme="minorEastAsia"/>
          <w:bCs/>
          <w:lang w:val="el-GR"/>
        </w:rPr>
        <w:t>,</w:t>
      </w:r>
      <w:r w:rsidR="00C17545">
        <w:rPr>
          <w:rFonts w:eastAsiaTheme="minorEastAsia"/>
          <w:bCs/>
          <w:lang w:val="el-GR"/>
        </w:rPr>
        <w:t xml:space="preserve"> </w:t>
      </w:r>
      <w:r w:rsidRPr="00224153">
        <w:rPr>
          <w:rFonts w:eastAsiaTheme="minorEastAsia"/>
          <w:iCs/>
          <w:lang w:val="el-GR"/>
        </w:rPr>
        <w:t>ό</w:t>
      </w:r>
      <w:r w:rsidRPr="00671473">
        <w:rPr>
          <w:rFonts w:eastAsiaTheme="minorEastAsia"/>
          <w:iCs/>
          <w:lang w:val="el-GR"/>
        </w:rPr>
        <w:t>που</w:t>
      </w:r>
    </w:p>
    <w:p w14:paraId="63612B40" w14:textId="77777777" w:rsidR="00224153" w:rsidRPr="00224153" w:rsidRDefault="00224153" w:rsidP="00976CE6">
      <w:pPr>
        <w:pStyle w:val="a3"/>
        <w:numPr>
          <w:ilvl w:val="0"/>
          <w:numId w:val="47"/>
        </w:numPr>
        <w:jc w:val="both"/>
        <w:rPr>
          <w:rFonts w:eastAsiaTheme="minorEastAsia"/>
          <w:iCs/>
          <w:lang w:val="el-GR"/>
        </w:rPr>
      </w:pPr>
      <w:r w:rsidRPr="00224153">
        <w:rPr>
          <w:rFonts w:eastAsiaTheme="minorEastAsia"/>
          <w:iCs/>
          <w:lang w:val="el-GR"/>
        </w:rPr>
        <w:t>Ε</w:t>
      </w:r>
      <w:r w:rsidRPr="00224153">
        <w:rPr>
          <w:rFonts w:eastAsiaTheme="minorEastAsia"/>
          <w:iCs/>
        </w:rPr>
        <w:t>G</w:t>
      </w:r>
      <w:r w:rsidRPr="00224153">
        <w:rPr>
          <w:rFonts w:eastAsiaTheme="minorEastAsia"/>
          <w:iCs/>
          <w:lang w:val="el-GR"/>
        </w:rPr>
        <w:t>: Συνολική ενέργεια που εγχέεται στο Σύστημα κατά τη διάρκεια του έτους αναφοράς</w:t>
      </w:r>
      <w:r w:rsidR="00976CE6">
        <w:rPr>
          <w:rFonts w:eastAsiaTheme="minorEastAsia"/>
          <w:iCs/>
          <w:lang w:val="el-GR"/>
        </w:rPr>
        <w:t xml:space="preserve"> σε </w:t>
      </w:r>
      <w:r w:rsidR="00976CE6">
        <w:rPr>
          <w:rFonts w:eastAsiaTheme="minorEastAsia"/>
          <w:iCs/>
        </w:rPr>
        <w:t>MWh</w:t>
      </w:r>
    </w:p>
    <w:p w14:paraId="21C50F91" w14:textId="77777777" w:rsidR="00224153" w:rsidRPr="00224153" w:rsidRDefault="00224153" w:rsidP="00976CE6">
      <w:pPr>
        <w:pStyle w:val="a3"/>
        <w:numPr>
          <w:ilvl w:val="0"/>
          <w:numId w:val="47"/>
        </w:numPr>
        <w:jc w:val="both"/>
        <w:rPr>
          <w:b/>
          <w:bCs/>
          <w:i/>
          <w:lang w:val="el-GR"/>
        </w:rPr>
      </w:pPr>
      <w:r w:rsidRPr="00224153">
        <w:rPr>
          <w:rFonts w:eastAsiaTheme="minorEastAsia"/>
          <w:iCs/>
        </w:rPr>
        <w:t>ET</w:t>
      </w:r>
      <w:r w:rsidRPr="00224153">
        <w:rPr>
          <w:rFonts w:eastAsiaTheme="minorEastAsia"/>
          <w:iCs/>
          <w:lang w:val="el-GR"/>
        </w:rPr>
        <w:t xml:space="preserve">: Συνολική ενέργεια που απορροφάται από </w:t>
      </w:r>
      <w:r w:rsidR="00F15E6A">
        <w:rPr>
          <w:rFonts w:eastAsiaTheme="minorEastAsia"/>
          <w:iCs/>
          <w:lang w:val="el-GR"/>
        </w:rPr>
        <w:t>τους Χρήστες του Συστήματος</w:t>
      </w:r>
      <w:r w:rsidR="007D7F8A">
        <w:rPr>
          <w:rFonts w:eastAsiaTheme="minorEastAsia"/>
          <w:iCs/>
          <w:lang w:val="el-GR"/>
        </w:rPr>
        <w:t xml:space="preserve"> </w:t>
      </w:r>
      <w:r w:rsidRPr="00224153">
        <w:rPr>
          <w:rFonts w:eastAsiaTheme="minorEastAsia"/>
          <w:iCs/>
          <w:lang w:val="el-GR"/>
        </w:rPr>
        <w:t>κατά τη διάρκεια του έτους αναφοράς</w:t>
      </w:r>
      <w:r w:rsidR="00976CE6" w:rsidRPr="00976CE6">
        <w:rPr>
          <w:rFonts w:eastAsiaTheme="minorEastAsia"/>
          <w:iCs/>
          <w:lang w:val="el-GR"/>
        </w:rPr>
        <w:t xml:space="preserve"> </w:t>
      </w:r>
      <w:r w:rsidR="00976CE6">
        <w:rPr>
          <w:rFonts w:eastAsiaTheme="minorEastAsia"/>
          <w:iCs/>
          <w:lang w:val="el-GR"/>
        </w:rPr>
        <w:t xml:space="preserve">σε </w:t>
      </w:r>
      <w:r w:rsidR="00976CE6">
        <w:rPr>
          <w:rFonts w:eastAsiaTheme="minorEastAsia"/>
          <w:iCs/>
        </w:rPr>
        <w:t>MWh</w:t>
      </w:r>
    </w:p>
    <w:p w14:paraId="1FF2F4EF" w14:textId="6638239E" w:rsidR="00F97B7F" w:rsidRPr="005270AF" w:rsidRDefault="00F97B7F" w:rsidP="007D7F8A">
      <w:pPr>
        <w:jc w:val="both"/>
        <w:rPr>
          <w:lang w:val="el-GR"/>
        </w:rPr>
      </w:pPr>
      <w:r w:rsidRPr="005270AF">
        <w:rPr>
          <w:rFonts w:ascii="Arial Black" w:hAnsi="Arial Black"/>
          <w:lang w:val="el-GR"/>
        </w:rPr>
        <w:t>4.4.2</w:t>
      </w:r>
      <w:r>
        <w:rPr>
          <w:lang w:val="el-GR"/>
        </w:rPr>
        <w:t xml:space="preserve"> </w:t>
      </w:r>
      <w:r w:rsidRPr="00F97B7F">
        <w:rPr>
          <w:lang w:val="el-GR"/>
        </w:rPr>
        <w:t>Ο ΑΔΜΗΕ θα υπολογίζει</w:t>
      </w:r>
      <w:r w:rsidR="00147FC0">
        <w:rPr>
          <w:lang w:val="el-GR"/>
        </w:rPr>
        <w:t xml:space="preserve"> και θα παρουσιάζει</w:t>
      </w:r>
      <w:r w:rsidRPr="00F97B7F">
        <w:rPr>
          <w:lang w:val="el-GR"/>
        </w:rPr>
        <w:t xml:space="preserve"> τις απώλειες του Συστήματος για το έτος αναφοράς, σε αντιδιαστολή με τα προηγούμενα </w:t>
      </w:r>
      <w:r w:rsidR="005270AF">
        <w:rPr>
          <w:lang w:val="el-GR"/>
        </w:rPr>
        <w:t>δύο</w:t>
      </w:r>
      <w:r w:rsidRPr="00F97B7F">
        <w:rPr>
          <w:lang w:val="el-GR"/>
        </w:rPr>
        <w:t xml:space="preserve"> έτη.</w:t>
      </w:r>
    </w:p>
    <w:p w14:paraId="46AB44B3" w14:textId="77777777" w:rsidR="00A30D11" w:rsidRDefault="00A30D11" w:rsidP="005270AF">
      <w:pPr>
        <w:jc w:val="both"/>
        <w:rPr>
          <w:lang w:val="el-GR"/>
        </w:rPr>
      </w:pPr>
    </w:p>
    <w:p w14:paraId="337752A2" w14:textId="77777777" w:rsidR="00D16D21" w:rsidRDefault="00D16D21" w:rsidP="00A30D11">
      <w:pPr>
        <w:rPr>
          <w:lang w:val="el-GR"/>
        </w:rPr>
      </w:pPr>
    </w:p>
    <w:p w14:paraId="03A9CEE5" w14:textId="77777777" w:rsidR="00615F92" w:rsidRDefault="00615F92" w:rsidP="00A30D11">
      <w:pPr>
        <w:rPr>
          <w:lang w:val="el-GR"/>
        </w:rPr>
      </w:pPr>
    </w:p>
    <w:p w14:paraId="2472E9F4" w14:textId="77777777" w:rsidR="00615F92" w:rsidRDefault="00615F92" w:rsidP="00A30D11">
      <w:pPr>
        <w:rPr>
          <w:lang w:val="el-GR"/>
        </w:rPr>
      </w:pPr>
    </w:p>
    <w:p w14:paraId="67860969" w14:textId="77777777" w:rsidR="00615F92" w:rsidRDefault="00615F92" w:rsidP="00A30D11">
      <w:pPr>
        <w:rPr>
          <w:lang w:val="el-GR"/>
        </w:rPr>
      </w:pPr>
    </w:p>
    <w:p w14:paraId="1C23DDD5" w14:textId="77777777" w:rsidR="00615F92" w:rsidRDefault="00615F92" w:rsidP="00A30D11">
      <w:pPr>
        <w:rPr>
          <w:lang w:val="el-GR"/>
        </w:rPr>
      </w:pPr>
    </w:p>
    <w:p w14:paraId="2702024E" w14:textId="77777777" w:rsidR="00615F92" w:rsidRDefault="00615F92" w:rsidP="00A30D11">
      <w:pPr>
        <w:rPr>
          <w:lang w:val="el-GR"/>
        </w:rPr>
      </w:pPr>
    </w:p>
    <w:p w14:paraId="131F4095" w14:textId="77777777" w:rsidR="00615F92" w:rsidRDefault="00615F92" w:rsidP="00A30D11">
      <w:pPr>
        <w:rPr>
          <w:lang w:val="el-GR"/>
        </w:rPr>
      </w:pPr>
    </w:p>
    <w:p w14:paraId="30FD4A3A" w14:textId="77777777" w:rsidR="00615F92" w:rsidRDefault="00615F92" w:rsidP="00A30D11">
      <w:pPr>
        <w:rPr>
          <w:lang w:val="el-GR"/>
        </w:rPr>
      </w:pPr>
    </w:p>
    <w:p w14:paraId="00157275" w14:textId="77777777" w:rsidR="00615F92" w:rsidRDefault="00615F92" w:rsidP="00A30D11">
      <w:pPr>
        <w:rPr>
          <w:lang w:val="el-GR"/>
        </w:rPr>
      </w:pPr>
    </w:p>
    <w:p w14:paraId="51D4AEBF" w14:textId="77777777" w:rsidR="00615F92" w:rsidRDefault="00615F92" w:rsidP="00A30D11">
      <w:pPr>
        <w:rPr>
          <w:lang w:val="el-GR"/>
        </w:rPr>
      </w:pPr>
    </w:p>
    <w:p w14:paraId="6740B0B9" w14:textId="77777777" w:rsidR="00615F92" w:rsidRDefault="00615F92" w:rsidP="00A30D11">
      <w:pPr>
        <w:rPr>
          <w:lang w:val="el-GR"/>
        </w:rPr>
      </w:pPr>
    </w:p>
    <w:p w14:paraId="37C8A0CB" w14:textId="77777777" w:rsidR="00615F92" w:rsidRDefault="00615F92" w:rsidP="00A30D11">
      <w:pPr>
        <w:rPr>
          <w:lang w:val="el-GR"/>
        </w:rPr>
      </w:pPr>
    </w:p>
    <w:p w14:paraId="26CD61B1" w14:textId="77777777" w:rsidR="00615F92" w:rsidRDefault="00615F92" w:rsidP="00A30D11">
      <w:pPr>
        <w:rPr>
          <w:lang w:val="el-GR"/>
        </w:rPr>
      </w:pPr>
    </w:p>
    <w:p w14:paraId="302983E4" w14:textId="77777777" w:rsidR="00615F92" w:rsidRDefault="00615F92" w:rsidP="00A30D11">
      <w:pPr>
        <w:rPr>
          <w:lang w:val="el-GR"/>
        </w:rPr>
      </w:pPr>
    </w:p>
    <w:p w14:paraId="07902618" w14:textId="77777777" w:rsidR="00D77179" w:rsidRPr="00221A95" w:rsidRDefault="00D77179" w:rsidP="00A30D11">
      <w:pPr>
        <w:rPr>
          <w:lang w:val="el-GR"/>
        </w:rPr>
      </w:pPr>
    </w:p>
    <w:p w14:paraId="26AF1CFD" w14:textId="77777777" w:rsidR="00D56D1A" w:rsidRDefault="00981575" w:rsidP="0088305E">
      <w:pPr>
        <w:pStyle w:val="1"/>
        <w:numPr>
          <w:ilvl w:val="0"/>
          <w:numId w:val="45"/>
        </w:numPr>
        <w:rPr>
          <w:b/>
          <w:color w:val="auto"/>
          <w:lang w:val="el-GR"/>
        </w:rPr>
      </w:pPr>
      <w:bookmarkStart w:id="11" w:name="_Toc100851208"/>
      <w:r w:rsidRPr="00981575">
        <w:rPr>
          <w:b/>
          <w:color w:val="auto"/>
          <w:lang w:val="el-GR"/>
        </w:rPr>
        <w:lastRenderedPageBreak/>
        <w:t>Διαθεσιμότητα Συστήματος Μεταφοράς</w:t>
      </w:r>
      <w:bookmarkEnd w:id="11"/>
    </w:p>
    <w:p w14:paraId="26F7D8F9" w14:textId="77777777" w:rsidR="00D56D1A" w:rsidRPr="00D56D1A" w:rsidRDefault="00D56D1A" w:rsidP="00D56D1A">
      <w:pPr>
        <w:rPr>
          <w:lang w:val="el-GR"/>
        </w:rPr>
      </w:pPr>
    </w:p>
    <w:p w14:paraId="0D4B91BE" w14:textId="77777777" w:rsidR="00D56D1A" w:rsidRDefault="0088305E" w:rsidP="00D56D1A">
      <w:pPr>
        <w:pStyle w:val="2"/>
        <w:rPr>
          <w:lang w:val="el-GR"/>
        </w:rPr>
      </w:pPr>
      <w:bookmarkStart w:id="12" w:name="_Toc100851209"/>
      <w:r>
        <w:rPr>
          <w:lang w:val="el-GR"/>
        </w:rPr>
        <w:t>5</w:t>
      </w:r>
      <w:r w:rsidR="00A30D11" w:rsidRPr="00A30D11">
        <w:rPr>
          <w:lang w:val="el-GR"/>
        </w:rPr>
        <w:t xml:space="preserve">.1 </w:t>
      </w:r>
      <w:r w:rsidR="00DF0EB5">
        <w:rPr>
          <w:lang w:val="el-GR"/>
        </w:rPr>
        <w:t>Διαθεσιμότητα</w:t>
      </w:r>
      <w:r w:rsidR="00D56D1A">
        <w:rPr>
          <w:lang w:val="el-GR"/>
        </w:rPr>
        <w:t xml:space="preserve"> </w:t>
      </w:r>
      <w:r w:rsidR="00DF0EB5">
        <w:rPr>
          <w:lang w:val="el-GR"/>
        </w:rPr>
        <w:t>επιμέρους κατηγοριών εξοπλισμού ΕΣΜΗΕ</w:t>
      </w:r>
      <w:bookmarkEnd w:id="12"/>
    </w:p>
    <w:p w14:paraId="2722CBDD" w14:textId="77777777" w:rsidR="00BA161D" w:rsidRDefault="006524B1" w:rsidP="00223CB2">
      <w:pPr>
        <w:jc w:val="both"/>
        <w:rPr>
          <w:lang w:val="el-GR"/>
        </w:rPr>
      </w:pPr>
      <w:r>
        <w:rPr>
          <w:lang w:val="el-GR"/>
        </w:rPr>
        <w:t xml:space="preserve"> </w:t>
      </w:r>
      <w:r w:rsidR="00223CB2" w:rsidRPr="00223CB2">
        <w:rPr>
          <w:lang w:val="el-GR"/>
        </w:rPr>
        <w:t xml:space="preserve">Η διαθεσιμότητα </w:t>
      </w:r>
      <w:r w:rsidR="00223CB2">
        <w:rPr>
          <w:lang w:val="el-GR"/>
        </w:rPr>
        <w:t>του ΕΣΜΗΕ μπορεί να εκφραστεί ως συνάρτηση των διακοπών</w:t>
      </w:r>
      <w:r w:rsidR="00E00536">
        <w:rPr>
          <w:lang w:val="el-GR"/>
        </w:rPr>
        <w:t xml:space="preserve"> λειτουργίας και απομονώσεων</w:t>
      </w:r>
      <w:r w:rsidR="00223CB2">
        <w:rPr>
          <w:lang w:val="el-GR"/>
        </w:rPr>
        <w:t xml:space="preserve"> των γραμμών μεταφοράς ή των Μετασχηματιστών του Συστήματος και στα Όρια του Συστήματος με το δίκτυο διανομής.</w:t>
      </w:r>
      <w:r w:rsidR="00223CB2" w:rsidRPr="00223CB2">
        <w:rPr>
          <w:lang w:val="el-GR"/>
        </w:rPr>
        <w:t xml:space="preserve"> </w:t>
      </w:r>
      <w:r w:rsidR="009A62E7">
        <w:rPr>
          <w:lang w:val="el-GR"/>
        </w:rPr>
        <w:t xml:space="preserve">Η διαθεσιμότητα </w:t>
      </w:r>
      <w:r w:rsidR="00223CB2" w:rsidRPr="00223CB2">
        <w:rPr>
          <w:lang w:val="el-GR"/>
        </w:rPr>
        <w:t>αξιολογείται με τη χρήση δεικτών</w:t>
      </w:r>
      <w:r w:rsidR="00A706B2">
        <w:rPr>
          <w:lang w:val="el-GR"/>
        </w:rPr>
        <w:t xml:space="preserve">, </w:t>
      </w:r>
      <w:r w:rsidR="00A51C1F">
        <w:rPr>
          <w:lang w:val="el-GR"/>
        </w:rPr>
        <w:t>στους τύπους των οποίων περιέχονται</w:t>
      </w:r>
      <w:r w:rsidR="00A706B2">
        <w:rPr>
          <w:lang w:val="el-GR"/>
        </w:rPr>
        <w:t xml:space="preserve"> παράμετροι</w:t>
      </w:r>
      <w:r w:rsidR="00223CB2" w:rsidRPr="00223CB2">
        <w:rPr>
          <w:lang w:val="el-GR"/>
        </w:rPr>
        <w:t xml:space="preserve"> </w:t>
      </w:r>
      <w:r w:rsidR="00A51C1F">
        <w:rPr>
          <w:lang w:val="el-GR"/>
        </w:rPr>
        <w:t xml:space="preserve">που </w:t>
      </w:r>
      <w:r w:rsidR="00223CB2" w:rsidRPr="00223CB2">
        <w:rPr>
          <w:lang w:val="el-GR"/>
        </w:rPr>
        <w:t>μετρούν</w:t>
      </w:r>
      <w:r w:rsidR="009A62E7">
        <w:rPr>
          <w:lang w:val="el-GR"/>
        </w:rPr>
        <w:t xml:space="preserve"> τα τεχνικά χαρακτηριστικά</w:t>
      </w:r>
      <w:r w:rsidR="00A706B2">
        <w:rPr>
          <w:lang w:val="el-GR"/>
        </w:rPr>
        <w:t xml:space="preserve"> του επιμέρους εξοπλισμού</w:t>
      </w:r>
      <w:r w:rsidR="009A62E7">
        <w:rPr>
          <w:lang w:val="el-GR"/>
        </w:rPr>
        <w:t xml:space="preserve"> (π.χ. μήκος γραμμής ή ισχύς μετασχηματιστή),</w:t>
      </w:r>
      <w:r w:rsidR="00223CB2" w:rsidRPr="00223CB2">
        <w:rPr>
          <w:lang w:val="el-GR"/>
        </w:rPr>
        <w:t xml:space="preserve"> </w:t>
      </w:r>
      <w:r w:rsidR="009A62E7">
        <w:rPr>
          <w:lang w:val="el-GR"/>
        </w:rPr>
        <w:t xml:space="preserve"> </w:t>
      </w:r>
      <w:r w:rsidR="00A706B2">
        <w:rPr>
          <w:lang w:val="el-GR"/>
        </w:rPr>
        <w:t>τον αριθμό των διακοπών και τη διάρκεια</w:t>
      </w:r>
      <w:r w:rsidR="00223CB2" w:rsidRPr="00223CB2">
        <w:rPr>
          <w:lang w:val="el-GR"/>
        </w:rPr>
        <w:t xml:space="preserve"> τους. </w:t>
      </w:r>
    </w:p>
    <w:p w14:paraId="7CF3ACB5" w14:textId="77777777" w:rsidR="00B6230D" w:rsidRDefault="00B6230D" w:rsidP="00223CB2">
      <w:pPr>
        <w:jc w:val="both"/>
        <w:rPr>
          <w:lang w:val="el-GR"/>
        </w:rPr>
      </w:pPr>
      <w:r w:rsidRPr="00B6230D">
        <w:rPr>
          <w:rFonts w:ascii="Arial Black" w:hAnsi="Arial Black"/>
          <w:lang w:val="el-GR"/>
        </w:rPr>
        <w:t>5.1.1</w:t>
      </w:r>
      <w:r w:rsidRPr="00B6230D">
        <w:rPr>
          <w:lang w:val="el-GR"/>
        </w:rPr>
        <w:t xml:space="preserve"> Στοιχείο του Συστήµατος Μεταφοράς είναι σε µη διαθεσιµότητα όταν δεν βρίσκεται σε κατάσταση λειτουργίας δηλαδή είναι µερικώς ή ολικώς αποµονωµένο από το υπόλοιπο Σύστηµα. </w:t>
      </w:r>
    </w:p>
    <w:p w14:paraId="2B358A46" w14:textId="77777777" w:rsidR="00223CB2" w:rsidRDefault="0088305E" w:rsidP="00223CB2">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B6230D" w:rsidRPr="00B6230D">
        <w:rPr>
          <w:rFonts w:ascii="Arial Black" w:hAnsi="Arial Black"/>
          <w:b/>
          <w:lang w:val="el-GR"/>
        </w:rPr>
        <w:t>2</w:t>
      </w:r>
      <w:r w:rsidR="00F94E37">
        <w:rPr>
          <w:lang w:val="el-GR"/>
        </w:rPr>
        <w:t xml:space="preserve"> </w:t>
      </w:r>
      <w:r w:rsidR="007D1ECB">
        <w:rPr>
          <w:lang w:val="el-GR"/>
        </w:rPr>
        <w:t>Ο υπολογισμός των δεικτών διαθεσιμότητας του ΕΣΜΗΕ</w:t>
      </w:r>
      <w:r w:rsidR="005E1811">
        <w:rPr>
          <w:lang w:val="el-GR"/>
        </w:rPr>
        <w:t xml:space="preserve"> για μία χρονική περίοδο</w:t>
      </w:r>
      <w:r w:rsidR="007D1ECB">
        <w:rPr>
          <w:lang w:val="el-GR"/>
        </w:rPr>
        <w:t xml:space="preserve"> θα γίνεται ως εξής</w:t>
      </w:r>
      <w:r w:rsidR="007D1ECB" w:rsidRPr="007D1ECB">
        <w:rPr>
          <w:lang w:val="el-GR"/>
        </w:rPr>
        <w:t>:</w:t>
      </w:r>
    </w:p>
    <w:p w14:paraId="40067646" w14:textId="77777777" w:rsidR="006524B1" w:rsidRPr="00A30D11" w:rsidRDefault="006524B1" w:rsidP="006524B1">
      <w:pPr>
        <w:pStyle w:val="a3"/>
        <w:numPr>
          <w:ilvl w:val="0"/>
          <w:numId w:val="31"/>
        </w:numPr>
        <w:jc w:val="both"/>
        <w:rPr>
          <w:lang w:val="el-GR"/>
        </w:rPr>
      </w:pPr>
      <w:r w:rsidRPr="00A30D11">
        <w:rPr>
          <w:lang w:val="el-GR"/>
        </w:rPr>
        <w:t xml:space="preserve">Ο δείκτης μέτρησης </w:t>
      </w:r>
      <w:r w:rsidR="00E934F8">
        <w:rPr>
          <w:lang w:val="el-GR"/>
        </w:rPr>
        <w:t>της ετήσιας</w:t>
      </w:r>
      <w:r w:rsidRPr="00A30D11">
        <w:rPr>
          <w:lang w:val="el-GR"/>
        </w:rPr>
        <w:t xml:space="preserve"> διαθεσιμότητας </w:t>
      </w:r>
      <w:r w:rsidR="00A04CEA">
        <w:rPr>
          <w:lang w:val="el-GR"/>
        </w:rPr>
        <w:t>γραμμών μεταφοράς</w:t>
      </w:r>
      <w:r w:rsidR="005E1811">
        <w:rPr>
          <w:lang w:val="el-GR"/>
        </w:rPr>
        <w:t xml:space="preserve"> </w:t>
      </w:r>
      <w:r w:rsidRPr="00A30D11">
        <w:rPr>
          <w:lang w:val="el-GR"/>
        </w:rPr>
        <w:t>υπολογίζεται ως εξής:</w:t>
      </w:r>
    </w:p>
    <w:p w14:paraId="52F422E9" w14:textId="77777777" w:rsidR="006524B1" w:rsidRPr="008E0852" w:rsidRDefault="006524B1" w:rsidP="006524B1">
      <w:pPr>
        <w:jc w:val="both"/>
        <w:rPr>
          <w:rFonts w:ascii="Cambria Math" w:eastAsiaTheme="minorEastAsia" w:hAnsi="Cambria Math"/>
          <w:b/>
          <w:bCs/>
          <w:i/>
          <w:sz w:val="26"/>
          <w:szCs w:val="26"/>
          <w:lang w:val="el-GR"/>
        </w:rPr>
      </w:pPr>
      <w:r w:rsidRPr="00A30D11">
        <w:rPr>
          <w:rFonts w:eastAsiaTheme="minorEastAsia"/>
          <w:b/>
          <w:lang w:val="el-GR"/>
        </w:rPr>
        <w:tab/>
      </w:r>
      <w:r w:rsidRPr="00A30D11">
        <w:rPr>
          <w:rFonts w:eastAsiaTheme="minorEastAsia"/>
          <w:b/>
          <w:lang w:val="el-GR"/>
        </w:rPr>
        <w:tab/>
      </w:r>
      <w:r w:rsidRPr="00A30D11">
        <w:rPr>
          <w:rFonts w:eastAsiaTheme="minorEastAsia"/>
          <w:b/>
          <w:lang w:val="el-GR"/>
        </w:rPr>
        <w:tab/>
      </w:r>
      <w:r w:rsidRPr="00A30D11">
        <w:rPr>
          <w:rFonts w:eastAsiaTheme="minorEastAsia"/>
          <w:b/>
          <w:lang w:val="el-GR"/>
        </w:rPr>
        <w:tab/>
      </w:r>
      <m:oMath>
        <m:r>
          <m:rPr>
            <m:sty m:val="bi"/>
          </m:rPr>
          <w:rPr>
            <w:rFonts w:ascii="Cambria Math" w:hAnsi="Cambria Math"/>
            <w:sz w:val="26"/>
            <w:szCs w:val="26"/>
            <w:lang w:val="el-GR"/>
          </w:rPr>
          <m:t>UD</m:t>
        </m:r>
        <m:r>
          <m:rPr>
            <m:sty m:val="bi"/>
          </m:rPr>
          <w:rPr>
            <w:rFonts w:ascii="Cambria Math" w:hAnsi="Cambria Math"/>
            <w:sz w:val="26"/>
            <w:szCs w:val="26"/>
          </w:rPr>
          <m:t>lines</m:t>
        </m:r>
        <m:r>
          <m:rPr>
            <m:sty m:val="bi"/>
          </m:rPr>
          <w:rPr>
            <w:rFonts w:ascii="Cambria Math" w:hAnsi="Cambria Math"/>
            <w:sz w:val="26"/>
            <w:szCs w:val="26"/>
            <w:lang w:val="el-GR"/>
          </w:rPr>
          <m:t xml:space="preserve">=1- </m:t>
        </m:r>
        <m:f>
          <m:fPr>
            <m:ctrlPr>
              <w:rPr>
                <w:rFonts w:ascii="Cambria Math" w:hAnsi="Cambria Math"/>
                <w:b/>
                <w:bCs/>
                <w:i/>
                <w:sz w:val="26"/>
                <w:szCs w:val="26"/>
                <w:lang w:val="el-GR"/>
              </w:rPr>
            </m:ctrlPr>
          </m:fPr>
          <m:num>
            <m:nary>
              <m:naryPr>
                <m:chr m:val="∑"/>
                <m:limLoc m:val="undOvr"/>
                <m:ctrlPr>
                  <w:rPr>
                    <w:rFonts w:ascii="Cambria Math" w:hAnsi="Cambria Math"/>
                    <w:b/>
                    <w:bCs/>
                    <w:i/>
                    <w:sz w:val="26"/>
                    <w:szCs w:val="26"/>
                    <w:lang w:val="el-GR"/>
                  </w:rPr>
                </m:ctrlPr>
              </m:naryPr>
              <m:sub>
                <m:r>
                  <m:rPr>
                    <m:sty m:val="bi"/>
                  </m:rPr>
                  <w:rPr>
                    <w:rFonts w:ascii="Cambria Math" w:hAnsi="Cambria Math"/>
                    <w:sz w:val="26"/>
                    <w:szCs w:val="26"/>
                    <w:lang w:val="el-GR"/>
                  </w:rPr>
                  <m:t>i=1</m:t>
                </m:r>
              </m:sub>
              <m:sup>
                <m:r>
                  <m:rPr>
                    <m:sty m:val="bi"/>
                  </m:rPr>
                  <w:rPr>
                    <w:rFonts w:ascii="Cambria Math" w:hAnsi="Cambria Math"/>
                    <w:sz w:val="26"/>
                    <w:szCs w:val="26"/>
                  </w:rPr>
                  <m:t>Kj</m:t>
                </m:r>
              </m:sup>
              <m:e>
                <m:r>
                  <m:rPr>
                    <m:sty m:val="bi"/>
                  </m:rPr>
                  <w:rPr>
                    <w:rFonts w:ascii="Cambria Math" w:hAnsi="Cambria Math"/>
                    <w:sz w:val="26"/>
                    <w:szCs w:val="26"/>
                    <w:lang w:val="el-GR"/>
                  </w:rPr>
                  <m:t>Hi,j*lj</m:t>
                </m:r>
              </m:e>
            </m:nary>
          </m:num>
          <m:den>
            <m:r>
              <m:rPr>
                <m:sty m:val="bi"/>
              </m:rPr>
              <w:rPr>
                <w:rFonts w:ascii="Cambria Math" w:hAnsi="Cambria Math"/>
                <w:sz w:val="26"/>
                <w:szCs w:val="26"/>
                <w:lang w:val="el-GR"/>
              </w:rPr>
              <m:t>8760*</m:t>
            </m:r>
            <m:nary>
              <m:naryPr>
                <m:chr m:val="∑"/>
                <m:limLoc m:val="undOvr"/>
                <m:ctrlPr>
                  <w:rPr>
                    <w:rFonts w:ascii="Cambria Math" w:hAnsi="Cambria Math"/>
                    <w:b/>
                    <w:bCs/>
                    <w:i/>
                    <w:sz w:val="26"/>
                    <w:szCs w:val="26"/>
                    <w:lang w:val="el-GR"/>
                  </w:rPr>
                </m:ctrlPr>
              </m:naryPr>
              <m:sub>
                <m:r>
                  <m:rPr>
                    <m:sty m:val="bi"/>
                  </m:rPr>
                  <w:rPr>
                    <w:rFonts w:ascii="Cambria Math" w:hAnsi="Cambria Math"/>
                    <w:sz w:val="26"/>
                    <w:szCs w:val="26"/>
                    <w:lang w:val="el-GR"/>
                  </w:rPr>
                  <m:t>j=1</m:t>
                </m:r>
              </m:sub>
              <m:sup>
                <m:r>
                  <m:rPr>
                    <m:sty m:val="bi"/>
                  </m:rPr>
                  <w:rPr>
                    <w:rFonts w:ascii="Cambria Math" w:hAnsi="Cambria Math"/>
                    <w:sz w:val="26"/>
                    <w:szCs w:val="26"/>
                  </w:rPr>
                  <m:t>NL</m:t>
                </m:r>
              </m:sup>
              <m:e>
                <m:r>
                  <m:rPr>
                    <m:sty m:val="bi"/>
                  </m:rPr>
                  <w:rPr>
                    <w:rFonts w:ascii="Cambria Math" w:hAnsi="Cambria Math"/>
                    <w:sz w:val="26"/>
                    <w:szCs w:val="26"/>
                    <w:lang w:val="el-GR"/>
                  </w:rPr>
                  <m:t>lj</m:t>
                </m:r>
              </m:e>
            </m:nary>
          </m:den>
        </m:f>
      </m:oMath>
    </w:p>
    <w:p w14:paraId="7AEC296B" w14:textId="77777777" w:rsidR="006524B1" w:rsidRPr="00A30D11" w:rsidRDefault="006524B1" w:rsidP="00D56D1A">
      <w:pPr>
        <w:ind w:firstLine="360"/>
        <w:jc w:val="both"/>
        <w:rPr>
          <w:rFonts w:eastAsiaTheme="minorEastAsia"/>
          <w:iCs/>
          <w:lang w:val="el-GR"/>
        </w:rPr>
      </w:pPr>
      <w:r w:rsidRPr="00A30D11">
        <w:rPr>
          <w:rFonts w:eastAsiaTheme="minorEastAsia"/>
          <w:iCs/>
          <w:lang w:val="el-GR"/>
        </w:rPr>
        <w:t>Όπου:</w:t>
      </w:r>
    </w:p>
    <w:p w14:paraId="50FDF9D6" w14:textId="77777777" w:rsidR="006524B1" w:rsidRPr="00A30D11" w:rsidRDefault="006524B1" w:rsidP="006524B1">
      <w:pPr>
        <w:pStyle w:val="a3"/>
        <w:numPr>
          <w:ilvl w:val="0"/>
          <w:numId w:val="32"/>
        </w:numPr>
        <w:jc w:val="both"/>
        <w:rPr>
          <w:rFonts w:eastAsiaTheme="minorEastAsia"/>
          <w:iCs/>
          <w:lang w:val="el-GR"/>
        </w:rPr>
      </w:pPr>
      <w:r w:rsidRPr="00A30D11">
        <w:rPr>
          <w:rFonts w:eastAsiaTheme="minorEastAsia"/>
          <w:iCs/>
        </w:rPr>
        <w:t>UD</w:t>
      </w:r>
      <w:r w:rsidR="00A04CEA">
        <w:rPr>
          <w:rFonts w:eastAsiaTheme="minorEastAsia"/>
          <w:iCs/>
        </w:rPr>
        <w:t>lines</w:t>
      </w:r>
      <w:r w:rsidRPr="00A30D11">
        <w:rPr>
          <w:rFonts w:eastAsiaTheme="minorEastAsia"/>
          <w:iCs/>
          <w:lang w:val="el-GR"/>
        </w:rPr>
        <w:t xml:space="preserve">: </w:t>
      </w:r>
      <w:r w:rsidR="005E1811">
        <w:rPr>
          <w:rFonts w:eastAsiaTheme="minorEastAsia"/>
          <w:iCs/>
          <w:lang w:val="el-GR"/>
        </w:rPr>
        <w:t>Ποσοστιαία</w:t>
      </w:r>
      <w:r w:rsidRPr="00A30D11">
        <w:rPr>
          <w:rFonts w:eastAsiaTheme="minorEastAsia"/>
          <w:iCs/>
          <w:lang w:val="el-GR"/>
        </w:rPr>
        <w:t xml:space="preserve"> Διαθεσιμότητα </w:t>
      </w:r>
      <w:r w:rsidR="00A04CEA">
        <w:rPr>
          <w:rFonts w:eastAsiaTheme="minorEastAsia"/>
          <w:iCs/>
          <w:lang w:val="el-GR"/>
        </w:rPr>
        <w:t>γραμμών μεταφοράς</w:t>
      </w:r>
      <w:r w:rsidR="00E00536">
        <w:rPr>
          <w:rFonts w:eastAsiaTheme="minorEastAsia"/>
          <w:iCs/>
          <w:lang w:val="el-GR"/>
        </w:rPr>
        <w:t xml:space="preserve"> (σε %)</w:t>
      </w:r>
      <w:r w:rsidRPr="00A30D11">
        <w:rPr>
          <w:rFonts w:eastAsiaTheme="minorEastAsia"/>
          <w:iCs/>
          <w:lang w:val="el-GR"/>
        </w:rPr>
        <w:t>,</w:t>
      </w:r>
    </w:p>
    <w:p w14:paraId="3A666C45" w14:textId="77777777" w:rsidR="006524B1" w:rsidRPr="00A30D11" w:rsidRDefault="006524B1" w:rsidP="006524B1">
      <w:pPr>
        <w:pStyle w:val="a3"/>
        <w:numPr>
          <w:ilvl w:val="0"/>
          <w:numId w:val="32"/>
        </w:numPr>
        <w:jc w:val="both"/>
        <w:rPr>
          <w:rFonts w:eastAsiaTheme="minorEastAsia"/>
          <w:iCs/>
          <w:lang w:val="el-GR"/>
        </w:rPr>
      </w:pPr>
      <w:r w:rsidRPr="00A30D11">
        <w:rPr>
          <w:rFonts w:eastAsiaTheme="minorEastAsia"/>
          <w:iCs/>
        </w:rPr>
        <w:t>Hi</w:t>
      </w:r>
      <w:r w:rsidRPr="00A30D11">
        <w:rPr>
          <w:rFonts w:eastAsiaTheme="minorEastAsia"/>
          <w:iCs/>
          <w:lang w:val="el-GR"/>
        </w:rPr>
        <w:t>,</w:t>
      </w:r>
      <w:r w:rsidRPr="00A30D11">
        <w:rPr>
          <w:rFonts w:eastAsiaTheme="minorEastAsia"/>
          <w:iCs/>
        </w:rPr>
        <w:t>j</w:t>
      </w:r>
      <w:r w:rsidRPr="00A30D11">
        <w:rPr>
          <w:rFonts w:eastAsiaTheme="minorEastAsia"/>
          <w:iCs/>
          <w:lang w:val="el-GR"/>
        </w:rPr>
        <w:t xml:space="preserve">: </w:t>
      </w:r>
      <w:r w:rsidR="00E00536">
        <w:rPr>
          <w:rFonts w:eastAsiaTheme="minorEastAsia"/>
          <w:iCs/>
          <w:lang w:val="el-GR"/>
        </w:rPr>
        <w:t xml:space="preserve">Χρονική </w:t>
      </w:r>
      <w:r w:rsidR="006C544E">
        <w:rPr>
          <w:rFonts w:eastAsiaTheme="minorEastAsia"/>
          <w:iCs/>
          <w:lang w:val="el-GR"/>
        </w:rPr>
        <w:t>δ</w:t>
      </w:r>
      <w:r w:rsidRPr="00A30D11">
        <w:rPr>
          <w:rFonts w:eastAsiaTheme="minorEastAsia"/>
          <w:iCs/>
          <w:lang w:val="el-GR"/>
        </w:rPr>
        <w:t xml:space="preserve">ιάρκεια </w:t>
      </w:r>
      <w:r w:rsidR="00E00536">
        <w:rPr>
          <w:rFonts w:eastAsiaTheme="minorEastAsia"/>
          <w:iCs/>
          <w:lang w:val="el-GR"/>
        </w:rPr>
        <w:t>περιστατικού Μη Διαθεσιμότητας</w:t>
      </w:r>
      <w:r w:rsidRPr="00A30D11">
        <w:rPr>
          <w:rFonts w:eastAsiaTheme="minorEastAsia"/>
          <w:iCs/>
          <w:lang w:val="el-GR"/>
        </w:rPr>
        <w:t xml:space="preserve"> </w:t>
      </w:r>
      <w:r w:rsidR="00E00536">
        <w:rPr>
          <w:rFonts w:eastAsiaTheme="minorEastAsia"/>
          <w:iCs/>
          <w:lang w:val="el-GR"/>
        </w:rPr>
        <w:t>«</w:t>
      </w:r>
      <w:r w:rsidRPr="00A30D11">
        <w:rPr>
          <w:rFonts w:eastAsiaTheme="minorEastAsia"/>
          <w:iCs/>
        </w:rPr>
        <w:t>i</w:t>
      </w:r>
      <w:r w:rsidR="00E00536">
        <w:rPr>
          <w:rFonts w:eastAsiaTheme="minorEastAsia"/>
          <w:iCs/>
          <w:lang w:val="el-GR"/>
        </w:rPr>
        <w:t>»</w:t>
      </w:r>
      <w:r w:rsidRPr="00A30D11">
        <w:rPr>
          <w:rFonts w:eastAsiaTheme="minorEastAsia"/>
          <w:iCs/>
          <w:lang w:val="el-GR"/>
        </w:rPr>
        <w:t>, η οποία αφορά τ</w:t>
      </w:r>
      <w:r w:rsidR="005E1811">
        <w:rPr>
          <w:rFonts w:eastAsiaTheme="minorEastAsia"/>
          <w:iCs/>
          <w:lang w:val="el-GR"/>
        </w:rPr>
        <w:t>η γραμμή μεταφοράς</w:t>
      </w:r>
      <w:r w:rsidRPr="00A30D11">
        <w:rPr>
          <w:rFonts w:eastAsiaTheme="minorEastAsia"/>
          <w:iCs/>
          <w:lang w:val="el-GR"/>
        </w:rPr>
        <w:t xml:space="preserve"> </w:t>
      </w:r>
      <w:r w:rsidR="00F27925">
        <w:rPr>
          <w:rFonts w:eastAsiaTheme="minorEastAsia"/>
          <w:iCs/>
          <w:lang w:val="el-GR"/>
        </w:rPr>
        <w:t>«</w:t>
      </w:r>
      <w:r w:rsidRPr="00A30D11">
        <w:rPr>
          <w:rFonts w:eastAsiaTheme="minorEastAsia"/>
          <w:iCs/>
        </w:rPr>
        <w:t>j</w:t>
      </w:r>
      <w:r w:rsidR="00F27925">
        <w:rPr>
          <w:rFonts w:eastAsiaTheme="minorEastAsia"/>
          <w:iCs/>
          <w:lang w:val="el-GR"/>
        </w:rPr>
        <w:t>»</w:t>
      </w:r>
      <w:r w:rsidRPr="00A30D11">
        <w:rPr>
          <w:rFonts w:eastAsiaTheme="minorEastAsia"/>
          <w:iCs/>
          <w:lang w:val="el-GR"/>
        </w:rPr>
        <w:t xml:space="preserve"> (σε ώρες),</w:t>
      </w:r>
    </w:p>
    <w:p w14:paraId="065471A1" w14:textId="77777777" w:rsidR="006524B1" w:rsidRPr="00A30D11" w:rsidRDefault="006524B1" w:rsidP="006524B1">
      <w:pPr>
        <w:pStyle w:val="a3"/>
        <w:numPr>
          <w:ilvl w:val="0"/>
          <w:numId w:val="32"/>
        </w:numPr>
        <w:jc w:val="both"/>
        <w:rPr>
          <w:rFonts w:eastAsiaTheme="minorEastAsia"/>
          <w:iCs/>
          <w:lang w:val="el-GR"/>
        </w:rPr>
      </w:pPr>
      <w:r w:rsidRPr="00A30D11">
        <w:rPr>
          <w:rFonts w:eastAsiaTheme="minorEastAsia"/>
          <w:iCs/>
        </w:rPr>
        <w:t>NL</w:t>
      </w:r>
      <w:r w:rsidRPr="00A30D11">
        <w:rPr>
          <w:rFonts w:eastAsiaTheme="minorEastAsia"/>
          <w:iCs/>
          <w:lang w:val="el-GR"/>
        </w:rPr>
        <w:t xml:space="preserve">: Συνολικός αριθμός </w:t>
      </w:r>
      <w:r w:rsidR="00A04CEA">
        <w:rPr>
          <w:rFonts w:eastAsiaTheme="minorEastAsia"/>
          <w:iCs/>
          <w:lang w:val="el-GR"/>
        </w:rPr>
        <w:t>γραμμών μεταφοράς</w:t>
      </w:r>
      <w:r w:rsidRPr="00A30D11">
        <w:rPr>
          <w:rFonts w:eastAsiaTheme="minorEastAsia"/>
          <w:iCs/>
          <w:lang w:val="el-GR"/>
        </w:rPr>
        <w:t>,</w:t>
      </w:r>
    </w:p>
    <w:p w14:paraId="7097E9CE" w14:textId="77777777" w:rsidR="006524B1" w:rsidRPr="002F2028" w:rsidRDefault="00E00536" w:rsidP="006524B1">
      <w:pPr>
        <w:pStyle w:val="a3"/>
        <w:numPr>
          <w:ilvl w:val="0"/>
          <w:numId w:val="32"/>
        </w:numPr>
        <w:jc w:val="both"/>
        <w:rPr>
          <w:iCs/>
          <w:lang w:val="el-GR"/>
        </w:rPr>
      </w:pPr>
      <w:r>
        <w:rPr>
          <w:rFonts w:eastAsiaTheme="minorEastAsia"/>
          <w:iCs/>
        </w:rPr>
        <w:t>K</w:t>
      </w:r>
      <w:r w:rsidR="006C544E">
        <w:rPr>
          <w:rFonts w:eastAsiaTheme="minorEastAsia"/>
          <w:iCs/>
        </w:rPr>
        <w:t>j</w:t>
      </w:r>
      <w:r w:rsidR="006524B1" w:rsidRPr="00A30D11">
        <w:rPr>
          <w:rFonts w:eastAsiaTheme="minorEastAsia"/>
          <w:iCs/>
          <w:lang w:val="el-GR"/>
        </w:rPr>
        <w:t xml:space="preserve">: Συνολικός αριθμός </w:t>
      </w:r>
      <w:r w:rsidR="006C544E">
        <w:rPr>
          <w:rFonts w:eastAsiaTheme="minorEastAsia"/>
          <w:iCs/>
          <w:lang w:val="el-GR"/>
        </w:rPr>
        <w:t>περιστατικών Μη Διαθεσιμότητας</w:t>
      </w:r>
      <w:r w:rsidR="006524B1" w:rsidRPr="00A30D11">
        <w:rPr>
          <w:rFonts w:eastAsiaTheme="minorEastAsia"/>
          <w:iCs/>
          <w:lang w:val="el-GR"/>
        </w:rPr>
        <w:t xml:space="preserve"> </w:t>
      </w:r>
      <w:r w:rsidR="005E1811">
        <w:rPr>
          <w:rFonts w:eastAsiaTheme="minorEastAsia"/>
          <w:iCs/>
          <w:lang w:val="el-GR"/>
        </w:rPr>
        <w:t>της γραμμής μεταφοράς</w:t>
      </w:r>
      <w:r w:rsidR="006524B1" w:rsidRPr="00A30D11">
        <w:rPr>
          <w:rFonts w:eastAsiaTheme="minorEastAsia"/>
          <w:iCs/>
          <w:lang w:val="el-GR"/>
        </w:rPr>
        <w:t xml:space="preserve"> </w:t>
      </w:r>
      <w:r w:rsidR="006524B1" w:rsidRPr="00A30D11">
        <w:rPr>
          <w:rFonts w:eastAsiaTheme="minorEastAsia"/>
          <w:iCs/>
        </w:rPr>
        <w:t>j</w:t>
      </w:r>
      <w:r w:rsidR="006524B1" w:rsidRPr="00A30D11">
        <w:rPr>
          <w:rFonts w:eastAsiaTheme="minorEastAsia"/>
          <w:iCs/>
          <w:lang w:val="el-GR"/>
        </w:rPr>
        <w:t xml:space="preserve"> κατά τη</w:t>
      </w:r>
      <w:r w:rsidR="005E1811">
        <w:rPr>
          <w:rFonts w:eastAsiaTheme="minorEastAsia"/>
          <w:iCs/>
          <w:lang w:val="el-GR"/>
        </w:rPr>
        <w:t>ν εξεταζόμενη χρονική</w:t>
      </w:r>
      <w:r w:rsidR="006524B1" w:rsidRPr="00A30D11">
        <w:rPr>
          <w:rFonts w:eastAsiaTheme="minorEastAsia"/>
          <w:iCs/>
          <w:lang w:val="el-GR"/>
        </w:rPr>
        <w:t xml:space="preserve"> περίοδο του έτους αναφοράς</w:t>
      </w:r>
      <w:r w:rsidR="002F2028">
        <w:rPr>
          <w:rFonts w:eastAsiaTheme="minorEastAsia"/>
          <w:iCs/>
          <w:lang w:val="el-GR"/>
        </w:rPr>
        <w:t>,</w:t>
      </w:r>
    </w:p>
    <w:p w14:paraId="0EF16625" w14:textId="77777777" w:rsidR="00D56D1A" w:rsidRPr="006C544E" w:rsidRDefault="005E1811" w:rsidP="006C544E">
      <w:pPr>
        <w:pStyle w:val="a3"/>
        <w:numPr>
          <w:ilvl w:val="0"/>
          <w:numId w:val="32"/>
        </w:numPr>
        <w:jc w:val="both"/>
        <w:rPr>
          <w:iCs/>
          <w:lang w:val="el-GR"/>
        </w:rPr>
      </w:pPr>
      <w:r>
        <w:rPr>
          <w:rFonts w:eastAsiaTheme="minorEastAsia"/>
          <w:iCs/>
        </w:rPr>
        <w:t>lj</w:t>
      </w:r>
      <w:r w:rsidRPr="005E1811">
        <w:rPr>
          <w:rFonts w:eastAsiaTheme="minorEastAsia"/>
          <w:iCs/>
          <w:lang w:val="el-GR"/>
        </w:rPr>
        <w:t xml:space="preserve">: </w:t>
      </w:r>
      <w:r>
        <w:rPr>
          <w:rFonts w:eastAsiaTheme="minorEastAsia"/>
          <w:iCs/>
          <w:lang w:val="el-GR"/>
        </w:rPr>
        <w:t>Μήκος</w:t>
      </w:r>
      <w:r w:rsidRPr="005E1811">
        <w:rPr>
          <w:rFonts w:eastAsiaTheme="minorEastAsia"/>
          <w:iCs/>
          <w:lang w:val="el-GR"/>
        </w:rPr>
        <w:t xml:space="preserve"> </w:t>
      </w:r>
      <w:r>
        <w:rPr>
          <w:rFonts w:eastAsiaTheme="minorEastAsia"/>
          <w:iCs/>
          <w:lang w:val="el-GR"/>
        </w:rPr>
        <w:t xml:space="preserve">γραμμής μεταφοράς </w:t>
      </w:r>
      <w:r>
        <w:rPr>
          <w:rFonts w:eastAsiaTheme="minorEastAsia"/>
          <w:iCs/>
        </w:rPr>
        <w:t>j</w:t>
      </w:r>
      <w:r w:rsidRPr="005E1811">
        <w:rPr>
          <w:rFonts w:eastAsiaTheme="minorEastAsia"/>
          <w:iCs/>
          <w:lang w:val="el-GR"/>
        </w:rPr>
        <w:t>.</w:t>
      </w:r>
    </w:p>
    <w:p w14:paraId="5DE858E7" w14:textId="77777777" w:rsidR="006C544E" w:rsidRPr="006C544E" w:rsidRDefault="006C544E" w:rsidP="006C544E">
      <w:pPr>
        <w:pStyle w:val="a3"/>
        <w:jc w:val="both"/>
        <w:rPr>
          <w:iCs/>
          <w:lang w:val="el-GR"/>
        </w:rPr>
      </w:pPr>
    </w:p>
    <w:p w14:paraId="35A7905A" w14:textId="77777777" w:rsidR="006524B1" w:rsidRPr="00A30D11" w:rsidRDefault="006524B1" w:rsidP="00D56D1A">
      <w:pPr>
        <w:pStyle w:val="a3"/>
        <w:numPr>
          <w:ilvl w:val="0"/>
          <w:numId w:val="31"/>
        </w:numPr>
        <w:jc w:val="both"/>
        <w:rPr>
          <w:lang w:val="el-GR"/>
        </w:rPr>
      </w:pPr>
      <w:r w:rsidRPr="00A30D11">
        <w:rPr>
          <w:lang w:val="el-GR"/>
        </w:rPr>
        <w:t xml:space="preserve">Ο δείκτης μέτρησης </w:t>
      </w:r>
      <w:r w:rsidR="00E934F8">
        <w:rPr>
          <w:lang w:val="el-GR"/>
        </w:rPr>
        <w:t>της ετήσιας</w:t>
      </w:r>
      <w:r w:rsidRPr="00A30D11">
        <w:rPr>
          <w:lang w:val="el-GR"/>
        </w:rPr>
        <w:t xml:space="preserve"> διαθεσιμότητας Μετασχηματιστών υπολογίζεται ως εξής:</w:t>
      </w:r>
    </w:p>
    <w:p w14:paraId="78599EE3" w14:textId="77777777" w:rsidR="006524B1" w:rsidRPr="00A30D11" w:rsidRDefault="006524B1" w:rsidP="006524B1">
      <w:pPr>
        <w:jc w:val="both"/>
        <w:rPr>
          <w:rFonts w:eastAsiaTheme="minorEastAsia"/>
          <w:b/>
          <w:lang w:val="el-GR"/>
        </w:rPr>
      </w:pPr>
    </w:p>
    <w:p w14:paraId="213174A3" w14:textId="77777777" w:rsidR="006524B1" w:rsidRPr="00A30D11" w:rsidRDefault="006524B1" w:rsidP="006524B1">
      <w:pPr>
        <w:jc w:val="both"/>
        <w:rPr>
          <w:lang w:val="el-GR"/>
        </w:rPr>
      </w:pPr>
      <m:oMathPara>
        <m:oMath>
          <m:r>
            <m:rPr>
              <m:sty m:val="bi"/>
            </m:rPr>
            <w:rPr>
              <w:rFonts w:ascii="Cambria Math" w:hAnsi="Cambria Math"/>
              <w:lang w:val="el-GR"/>
            </w:rPr>
            <m:t xml:space="preserve">UDtrafos=1- </m:t>
          </m:r>
          <m:f>
            <m:fPr>
              <m:ctrlPr>
                <w:rPr>
                  <w:rFonts w:ascii="Cambria Math" w:hAnsi="Cambria Math"/>
                  <w:b/>
                  <w:bCs/>
                  <w:i/>
                  <w:lang w:val="el-GR"/>
                </w:rPr>
              </m:ctrlPr>
            </m:fPr>
            <m:num>
              <m:nary>
                <m:naryPr>
                  <m:chr m:val="∑"/>
                  <m:limLoc m:val="undOvr"/>
                  <m:ctrlPr>
                    <w:rPr>
                      <w:rFonts w:ascii="Cambria Math" w:hAnsi="Cambria Math"/>
                      <w:b/>
                      <w:bCs/>
                      <w:i/>
                      <w:lang w:val="el-GR"/>
                    </w:rPr>
                  </m:ctrlPr>
                </m:naryPr>
                <m:sub>
                  <m:r>
                    <m:rPr>
                      <m:sty m:val="bi"/>
                    </m:rPr>
                    <w:rPr>
                      <w:rFonts w:ascii="Cambria Math" w:hAnsi="Cambria Math"/>
                      <w:lang w:val="el-GR"/>
                    </w:rPr>
                    <m:t>j=1</m:t>
                  </m:r>
                </m:sub>
                <m:sup>
                  <m:r>
                    <m:rPr>
                      <m:sty m:val="bi"/>
                    </m:rPr>
                    <w:rPr>
                      <w:rFonts w:ascii="Cambria Math" w:hAnsi="Cambria Math"/>
                      <w:lang w:val="el-GR"/>
                    </w:rPr>
                    <m:t>N</m:t>
                  </m:r>
                </m:sup>
                <m:e>
                  <m:r>
                    <m:rPr>
                      <m:sty m:val="bi"/>
                    </m:rPr>
                    <w:rPr>
                      <w:rFonts w:ascii="Cambria Math" w:hAnsi="Cambria Math"/>
                      <w:lang w:val="el-GR"/>
                    </w:rPr>
                    <m:t>(MVAj*</m:t>
                  </m:r>
                  <m:nary>
                    <m:naryPr>
                      <m:chr m:val="∑"/>
                      <m:limLoc m:val="undOvr"/>
                      <m:ctrlPr>
                        <w:rPr>
                          <w:rFonts w:ascii="Cambria Math" w:hAnsi="Cambria Math"/>
                          <w:b/>
                          <w:bCs/>
                          <w:i/>
                          <w:lang w:val="el-GR"/>
                        </w:rPr>
                      </m:ctrlPr>
                    </m:naryPr>
                    <m:sub>
                      <m:r>
                        <m:rPr>
                          <m:sty m:val="bi"/>
                        </m:rPr>
                        <w:rPr>
                          <w:rFonts w:ascii="Cambria Math" w:hAnsi="Cambria Math"/>
                          <w:lang w:val="el-GR"/>
                        </w:rPr>
                        <m:t>i=1</m:t>
                      </m:r>
                    </m:sub>
                    <m:sup>
                      <m:r>
                        <m:rPr>
                          <m:sty m:val="bi"/>
                        </m:rPr>
                        <w:rPr>
                          <w:rFonts w:ascii="Cambria Math" w:hAnsi="Cambria Math"/>
                          <w:lang w:val="el-GR"/>
                        </w:rPr>
                        <m:t>Kj</m:t>
                      </m:r>
                    </m:sup>
                    <m:e>
                      <m:r>
                        <m:rPr>
                          <m:sty m:val="bi"/>
                        </m:rPr>
                        <w:rPr>
                          <w:rFonts w:ascii="Cambria Math" w:hAnsi="Cambria Math"/>
                          <w:lang w:val="el-GR"/>
                        </w:rPr>
                        <m:t>Hi,j)</m:t>
                      </m:r>
                    </m:e>
                  </m:nary>
                </m:e>
              </m:nary>
            </m:num>
            <m:den>
              <m:r>
                <m:rPr>
                  <m:sty m:val="bi"/>
                </m:rPr>
                <w:rPr>
                  <w:rFonts w:ascii="Cambria Math" w:hAnsi="Cambria Math"/>
                  <w:lang w:val="el-GR"/>
                </w:rPr>
                <m:t>8760*</m:t>
              </m:r>
              <m:nary>
                <m:naryPr>
                  <m:chr m:val="∑"/>
                  <m:limLoc m:val="undOvr"/>
                  <m:ctrlPr>
                    <w:rPr>
                      <w:rFonts w:ascii="Cambria Math" w:hAnsi="Cambria Math"/>
                      <w:b/>
                      <w:bCs/>
                      <w:i/>
                      <w:lang w:val="el-GR"/>
                    </w:rPr>
                  </m:ctrlPr>
                </m:naryPr>
                <m:sub>
                  <m:r>
                    <m:rPr>
                      <m:sty m:val="bi"/>
                    </m:rPr>
                    <w:rPr>
                      <w:rFonts w:ascii="Cambria Math" w:hAnsi="Cambria Math"/>
                      <w:lang w:val="el-GR"/>
                    </w:rPr>
                    <m:t>j=1</m:t>
                  </m:r>
                </m:sub>
                <m:sup>
                  <m:r>
                    <m:rPr>
                      <m:sty m:val="bi"/>
                    </m:rPr>
                    <w:rPr>
                      <w:rFonts w:ascii="Cambria Math" w:hAnsi="Cambria Math"/>
                      <w:lang w:val="el-GR"/>
                    </w:rPr>
                    <m:t>N</m:t>
                  </m:r>
                </m:sup>
                <m:e>
                  <m:r>
                    <m:rPr>
                      <m:sty m:val="bi"/>
                    </m:rPr>
                    <w:rPr>
                      <w:rFonts w:ascii="Cambria Math" w:hAnsi="Cambria Math"/>
                      <w:lang w:val="el-GR"/>
                    </w:rPr>
                    <m:t>MVAj</m:t>
                  </m:r>
                </m:e>
              </m:nary>
            </m:den>
          </m:f>
        </m:oMath>
      </m:oMathPara>
    </w:p>
    <w:p w14:paraId="01544299" w14:textId="77777777" w:rsidR="006524B1" w:rsidRPr="00567241" w:rsidRDefault="006524B1" w:rsidP="00D56D1A">
      <w:pPr>
        <w:ind w:firstLine="360"/>
        <w:jc w:val="both"/>
        <w:rPr>
          <w:lang w:val="el-GR"/>
        </w:rPr>
      </w:pPr>
      <w:r>
        <w:rPr>
          <w:lang w:val="el-GR"/>
        </w:rPr>
        <w:t>Όπου</w:t>
      </w:r>
      <w:r w:rsidRPr="00567241">
        <w:rPr>
          <w:lang w:val="el-GR"/>
        </w:rPr>
        <w:t>:</w:t>
      </w:r>
    </w:p>
    <w:p w14:paraId="188B8F99" w14:textId="77777777" w:rsidR="006524B1" w:rsidRDefault="006524B1" w:rsidP="00D56D1A">
      <w:pPr>
        <w:pStyle w:val="a3"/>
        <w:numPr>
          <w:ilvl w:val="0"/>
          <w:numId w:val="34"/>
        </w:numPr>
        <w:jc w:val="both"/>
        <w:rPr>
          <w:lang w:val="el-GR"/>
        </w:rPr>
      </w:pPr>
      <w:r w:rsidRPr="00D56D1A">
        <w:rPr>
          <w:lang w:val="de-DE"/>
        </w:rPr>
        <w:t>UDtrafos</w:t>
      </w:r>
      <w:r w:rsidRPr="00D56D1A">
        <w:rPr>
          <w:lang w:val="el-GR"/>
        </w:rPr>
        <w:t xml:space="preserve">: Η </w:t>
      </w:r>
      <w:r w:rsidR="005E1811">
        <w:rPr>
          <w:lang w:val="el-GR"/>
        </w:rPr>
        <w:t>ποσοστιαία</w:t>
      </w:r>
      <w:r w:rsidRPr="00D56D1A">
        <w:rPr>
          <w:lang w:val="el-GR"/>
        </w:rPr>
        <w:t xml:space="preserve"> διαθεσιμότητα των μετασχηματιστών </w:t>
      </w:r>
      <w:r w:rsidR="00F27925" w:rsidRPr="00F27925">
        <w:rPr>
          <w:lang w:val="el-GR"/>
        </w:rPr>
        <w:t>(</w:t>
      </w:r>
      <w:r w:rsidR="00F27925">
        <w:rPr>
          <w:lang w:val="el-GR"/>
        </w:rPr>
        <w:t>σε %)</w:t>
      </w:r>
    </w:p>
    <w:p w14:paraId="3D1093E9" w14:textId="77777777" w:rsidR="00FD6F62" w:rsidRPr="00FD6F62" w:rsidRDefault="00FD6F62" w:rsidP="00FD6F62">
      <w:pPr>
        <w:pStyle w:val="a3"/>
        <w:numPr>
          <w:ilvl w:val="0"/>
          <w:numId w:val="34"/>
        </w:numPr>
        <w:jc w:val="both"/>
        <w:rPr>
          <w:lang w:val="el-GR"/>
        </w:rPr>
      </w:pPr>
      <w:r w:rsidRPr="00D56D1A">
        <w:rPr>
          <w:lang w:val="de-DE"/>
        </w:rPr>
        <w:t>MVAj</w:t>
      </w:r>
      <w:r w:rsidRPr="00D56D1A">
        <w:rPr>
          <w:lang w:val="el-GR"/>
        </w:rPr>
        <w:t>: Ισχύς Μετασχηματιστή</w:t>
      </w:r>
      <w:r w:rsidR="00F27925" w:rsidRPr="00F27925">
        <w:rPr>
          <w:lang w:val="el-GR"/>
        </w:rPr>
        <w:t xml:space="preserve"> </w:t>
      </w:r>
      <w:r w:rsidR="00F27925">
        <w:rPr>
          <w:lang w:val="el-GR"/>
        </w:rPr>
        <w:t>«</w:t>
      </w:r>
      <w:r w:rsidR="00F27925">
        <w:t>j</w:t>
      </w:r>
      <w:r w:rsidR="00F27925">
        <w:rPr>
          <w:lang w:val="el-GR"/>
        </w:rPr>
        <w:t>»</w:t>
      </w:r>
      <w:r w:rsidRPr="00D56D1A">
        <w:rPr>
          <w:lang w:val="el-GR"/>
        </w:rPr>
        <w:t xml:space="preserve"> εκτός λειτουργίας</w:t>
      </w:r>
      <w:r w:rsidR="00F27925">
        <w:rPr>
          <w:lang w:val="el-GR"/>
        </w:rPr>
        <w:t xml:space="preserve"> σε </w:t>
      </w:r>
      <w:r w:rsidR="00F27925">
        <w:t>MVA</w:t>
      </w:r>
    </w:p>
    <w:p w14:paraId="400720E2" w14:textId="77777777" w:rsidR="006524B1" w:rsidRPr="00D56D1A" w:rsidRDefault="00B6230D" w:rsidP="00D56D1A">
      <w:pPr>
        <w:pStyle w:val="a3"/>
        <w:numPr>
          <w:ilvl w:val="0"/>
          <w:numId w:val="34"/>
        </w:numPr>
        <w:jc w:val="both"/>
        <w:rPr>
          <w:lang w:val="el-GR"/>
        </w:rPr>
      </w:pPr>
      <w:r>
        <w:t>N</w:t>
      </w:r>
      <w:r w:rsidR="006524B1" w:rsidRPr="00D56D1A">
        <w:rPr>
          <w:lang w:val="el-GR"/>
        </w:rPr>
        <w:t>: Ο συνολικός αριθμός των Μετασχηματιστών</w:t>
      </w:r>
    </w:p>
    <w:p w14:paraId="6C8547FA" w14:textId="77777777" w:rsidR="006524B1" w:rsidRPr="00D56D1A" w:rsidRDefault="006C544E" w:rsidP="00D56D1A">
      <w:pPr>
        <w:pStyle w:val="a3"/>
        <w:numPr>
          <w:ilvl w:val="0"/>
          <w:numId w:val="34"/>
        </w:numPr>
        <w:jc w:val="both"/>
        <w:rPr>
          <w:lang w:val="el-GR"/>
        </w:rPr>
      </w:pPr>
      <w:r>
        <w:t>Kj</w:t>
      </w:r>
      <w:r w:rsidR="006524B1" w:rsidRPr="00D56D1A">
        <w:rPr>
          <w:lang w:val="el-GR"/>
        </w:rPr>
        <w:t xml:space="preserve">: Ο συνολικός αριθμός διακοπών λειτουργίας του Μετασχηματιστή </w:t>
      </w:r>
      <w:r w:rsidR="00F27925">
        <w:rPr>
          <w:lang w:val="el-GR"/>
        </w:rPr>
        <w:t>«</w:t>
      </w:r>
      <w:r w:rsidR="006524B1">
        <w:t>j</w:t>
      </w:r>
      <w:r w:rsidR="00F27925">
        <w:rPr>
          <w:lang w:val="el-GR"/>
        </w:rPr>
        <w:t>»</w:t>
      </w:r>
    </w:p>
    <w:p w14:paraId="502745C5" w14:textId="77777777" w:rsidR="007D1ECB" w:rsidRPr="00D56D1A" w:rsidRDefault="006524B1" w:rsidP="00D56D1A">
      <w:pPr>
        <w:pStyle w:val="a3"/>
        <w:numPr>
          <w:ilvl w:val="0"/>
          <w:numId w:val="34"/>
        </w:numPr>
        <w:jc w:val="both"/>
        <w:rPr>
          <w:lang w:val="el-GR"/>
        </w:rPr>
      </w:pPr>
      <w:r>
        <w:t>Hi</w:t>
      </w:r>
      <w:r w:rsidRPr="00D56D1A">
        <w:rPr>
          <w:lang w:val="el-GR"/>
        </w:rPr>
        <w:t>,</w:t>
      </w:r>
      <w:r>
        <w:t>j</w:t>
      </w:r>
      <w:r w:rsidRPr="00D56D1A">
        <w:rPr>
          <w:lang w:val="el-GR"/>
        </w:rPr>
        <w:t xml:space="preserve">: </w:t>
      </w:r>
      <w:r w:rsidRPr="00D56D1A">
        <w:rPr>
          <w:rFonts w:eastAsiaTheme="minorEastAsia"/>
          <w:iCs/>
          <w:lang w:val="el-GR"/>
        </w:rPr>
        <w:t xml:space="preserve">Διάρκεια </w:t>
      </w:r>
      <w:r w:rsidR="00F27925">
        <w:rPr>
          <w:rFonts w:eastAsiaTheme="minorEastAsia"/>
          <w:iCs/>
          <w:lang w:val="el-GR"/>
        </w:rPr>
        <w:t xml:space="preserve">της </w:t>
      </w:r>
      <w:r w:rsidRPr="00D56D1A">
        <w:rPr>
          <w:rFonts w:eastAsiaTheme="minorEastAsia"/>
          <w:iCs/>
          <w:lang w:val="el-GR"/>
        </w:rPr>
        <w:t xml:space="preserve">διακοπής </w:t>
      </w:r>
      <w:r w:rsidR="00F27925">
        <w:rPr>
          <w:rFonts w:eastAsiaTheme="minorEastAsia"/>
          <w:iCs/>
          <w:lang w:val="el-GR"/>
        </w:rPr>
        <w:t>«</w:t>
      </w:r>
      <w:r w:rsidRPr="00D56D1A">
        <w:rPr>
          <w:rFonts w:eastAsiaTheme="minorEastAsia"/>
          <w:iCs/>
        </w:rPr>
        <w:t>i</w:t>
      </w:r>
      <w:r w:rsidR="00F27925">
        <w:rPr>
          <w:rFonts w:eastAsiaTheme="minorEastAsia"/>
          <w:iCs/>
          <w:lang w:val="el-GR"/>
        </w:rPr>
        <w:t>»</w:t>
      </w:r>
      <w:r w:rsidRPr="00D56D1A">
        <w:rPr>
          <w:rFonts w:eastAsiaTheme="minorEastAsia"/>
          <w:iCs/>
          <w:lang w:val="el-GR"/>
        </w:rPr>
        <w:t xml:space="preserve">, η οποία αφορά τον Μετασχηματιστή </w:t>
      </w:r>
      <w:r w:rsidR="00F27925">
        <w:rPr>
          <w:rFonts w:eastAsiaTheme="minorEastAsia"/>
          <w:iCs/>
          <w:lang w:val="el-GR"/>
        </w:rPr>
        <w:t>«</w:t>
      </w:r>
      <w:r w:rsidRPr="00D56D1A">
        <w:rPr>
          <w:rFonts w:eastAsiaTheme="minorEastAsia"/>
          <w:iCs/>
        </w:rPr>
        <w:t>j</w:t>
      </w:r>
      <w:r w:rsidR="00F27925">
        <w:rPr>
          <w:rFonts w:eastAsiaTheme="minorEastAsia"/>
          <w:iCs/>
          <w:lang w:val="el-GR"/>
        </w:rPr>
        <w:t>»</w:t>
      </w:r>
      <w:r w:rsidRPr="00D56D1A">
        <w:rPr>
          <w:rFonts w:eastAsiaTheme="minorEastAsia"/>
          <w:iCs/>
          <w:lang w:val="el-GR"/>
        </w:rPr>
        <w:t xml:space="preserve"> (σε ώρες)</w:t>
      </w:r>
    </w:p>
    <w:p w14:paraId="0DAC6B77" w14:textId="77777777" w:rsidR="00E934F8" w:rsidRDefault="00197241" w:rsidP="00D33787">
      <w:pPr>
        <w:jc w:val="both"/>
        <w:rPr>
          <w:rFonts w:ascii="Arial Black" w:hAnsi="Arial Black"/>
          <w:b/>
          <w:lang w:val="el-GR"/>
        </w:rPr>
      </w:pPr>
      <w:r>
        <w:rPr>
          <w:lang w:val="el-GR"/>
        </w:rPr>
        <w:lastRenderedPageBreak/>
        <w:t>Το εξεταζόμενο χρονικό διάστημα για τον υπολογισμό της διαθεσιμότητας των επιμέρους κατηγοριών εξοπλισμού δύναται να διαφοροποιηθεί με αλλαγή του συνολικού αριθμού ωρών στον παρονομαστή των δεικτών υπολογισμού.</w:t>
      </w:r>
    </w:p>
    <w:p w14:paraId="2AA35FFD" w14:textId="77777777" w:rsidR="000A0735" w:rsidRDefault="0088305E" w:rsidP="00D33787">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B6230D" w:rsidRPr="00B6230D">
        <w:rPr>
          <w:rFonts w:ascii="Arial Black" w:hAnsi="Arial Black"/>
          <w:b/>
          <w:lang w:val="el-GR"/>
        </w:rPr>
        <w:t>3</w:t>
      </w:r>
      <w:r w:rsidR="00F94E37">
        <w:rPr>
          <w:lang w:val="el-GR"/>
        </w:rPr>
        <w:t xml:space="preserve"> </w:t>
      </w:r>
      <w:r w:rsidR="00223CB2">
        <w:rPr>
          <w:lang w:val="el-GR"/>
        </w:rPr>
        <w:t>Ο</w:t>
      </w:r>
      <w:r w:rsidR="000A0735" w:rsidRPr="000A0735">
        <w:rPr>
          <w:lang w:val="el-GR"/>
        </w:rPr>
        <w:t xml:space="preserve"> </w:t>
      </w:r>
      <w:r w:rsidR="00223CB2">
        <w:rPr>
          <w:lang w:val="el-GR"/>
        </w:rPr>
        <w:t>Δ</w:t>
      </w:r>
      <w:r w:rsidR="00223CB2" w:rsidRPr="000A0735">
        <w:rPr>
          <w:lang w:val="el-GR"/>
        </w:rPr>
        <w:t>ιαχειριστής</w:t>
      </w:r>
      <w:r w:rsidR="000A0735" w:rsidRPr="000A0735">
        <w:rPr>
          <w:lang w:val="el-GR"/>
        </w:rPr>
        <w:t xml:space="preserve">  Συστήματος</w:t>
      </w:r>
      <w:r w:rsidR="00223CB2">
        <w:rPr>
          <w:lang w:val="el-GR"/>
        </w:rPr>
        <w:t xml:space="preserve"> θα </w:t>
      </w:r>
      <w:r w:rsidR="00A27123">
        <w:rPr>
          <w:lang w:val="el-GR"/>
        </w:rPr>
        <w:t xml:space="preserve">υπολογίζει </w:t>
      </w:r>
      <w:r w:rsidR="00945C63">
        <w:rPr>
          <w:lang w:val="el-GR"/>
        </w:rPr>
        <w:t xml:space="preserve">και θα </w:t>
      </w:r>
      <w:r w:rsidR="00FE3D40">
        <w:rPr>
          <w:lang w:val="el-GR"/>
        </w:rPr>
        <w:t xml:space="preserve">παρουσιάζει στην έκθεση του </w:t>
      </w:r>
      <w:r w:rsidR="00A27123">
        <w:rPr>
          <w:lang w:val="el-GR"/>
        </w:rPr>
        <w:t>τη</w:t>
      </w:r>
      <w:r w:rsidR="00A51C1F">
        <w:rPr>
          <w:lang w:val="el-GR"/>
        </w:rPr>
        <w:t xml:space="preserve"> </w:t>
      </w:r>
      <w:r w:rsidR="00223CB2">
        <w:rPr>
          <w:lang w:val="el-GR"/>
        </w:rPr>
        <w:t>διαθεσιμότητα των</w:t>
      </w:r>
      <w:r w:rsidR="00A51C1F">
        <w:rPr>
          <w:lang w:val="el-GR"/>
        </w:rPr>
        <w:t xml:space="preserve"> παρακάτω</w:t>
      </w:r>
      <w:r w:rsidR="00223CB2">
        <w:rPr>
          <w:lang w:val="el-GR"/>
        </w:rPr>
        <w:t xml:space="preserve"> </w:t>
      </w:r>
      <w:r w:rsidR="008932D2">
        <w:rPr>
          <w:lang w:val="el-GR"/>
        </w:rPr>
        <w:t>επιμέρους στοιχείων</w:t>
      </w:r>
      <w:r w:rsidR="00223CB2">
        <w:rPr>
          <w:lang w:val="el-GR"/>
        </w:rPr>
        <w:t xml:space="preserve"> </w:t>
      </w:r>
      <w:r w:rsidR="00A51C1F">
        <w:rPr>
          <w:lang w:val="el-GR"/>
        </w:rPr>
        <w:t>του Συστήματος και στα Όρια του Συστήματος</w:t>
      </w:r>
      <w:r w:rsidR="00945C63">
        <w:rPr>
          <w:lang w:val="el-GR"/>
        </w:rPr>
        <w:t xml:space="preserve"> με το δίκτυο διανομής</w:t>
      </w:r>
      <w:r w:rsidR="00A51C1F">
        <w:rPr>
          <w:lang w:val="el-GR"/>
        </w:rPr>
        <w:t>,</w:t>
      </w:r>
      <w:r w:rsidR="000A0735" w:rsidRPr="000A0735">
        <w:rPr>
          <w:lang w:val="el-GR"/>
        </w:rPr>
        <w:t xml:space="preserve"> </w:t>
      </w:r>
      <w:r w:rsidR="00A51C1F">
        <w:rPr>
          <w:lang w:val="el-GR"/>
        </w:rPr>
        <w:t xml:space="preserve">κατηγοριοποιημένων ως προς το επίπεδο τάσης λειτουργίας, </w:t>
      </w:r>
      <w:r w:rsidR="00A51C1F" w:rsidRPr="00902CB3">
        <w:rPr>
          <w:b/>
          <w:lang w:val="el-GR"/>
        </w:rPr>
        <w:t>για το έτος αναφοράς</w:t>
      </w:r>
      <w:r w:rsidR="000A0735" w:rsidRPr="000A0735">
        <w:rPr>
          <w:lang w:val="el-GR"/>
        </w:rPr>
        <w:t xml:space="preserve">:  </w:t>
      </w:r>
    </w:p>
    <w:p w14:paraId="58A649BF" w14:textId="77777777" w:rsidR="000A0735" w:rsidRPr="00223CB2" w:rsidRDefault="000A0735" w:rsidP="00223CB2">
      <w:pPr>
        <w:pStyle w:val="a3"/>
        <w:numPr>
          <w:ilvl w:val="0"/>
          <w:numId w:val="9"/>
        </w:numPr>
        <w:jc w:val="both"/>
        <w:rPr>
          <w:lang w:val="el-GR"/>
        </w:rPr>
      </w:pPr>
      <w:r w:rsidRPr="00223CB2">
        <w:rPr>
          <w:lang w:val="el-GR"/>
        </w:rPr>
        <w:t xml:space="preserve">διαθεσιμότητα γραμμών μεταφοράς δικτύου 400 </w:t>
      </w:r>
      <w:r w:rsidR="00223CB2">
        <w:t>kV</w:t>
      </w:r>
      <w:r w:rsidR="00223CB2">
        <w:rPr>
          <w:lang w:val="el-GR"/>
        </w:rPr>
        <w:t>,</w:t>
      </w:r>
      <w:r w:rsidRPr="00223CB2">
        <w:rPr>
          <w:lang w:val="el-GR"/>
        </w:rPr>
        <w:t xml:space="preserve"> </w:t>
      </w:r>
    </w:p>
    <w:p w14:paraId="7E68003F" w14:textId="77777777" w:rsidR="000A0735" w:rsidRPr="00223CB2" w:rsidRDefault="000A0735" w:rsidP="00223CB2">
      <w:pPr>
        <w:pStyle w:val="a3"/>
        <w:numPr>
          <w:ilvl w:val="0"/>
          <w:numId w:val="9"/>
        </w:numPr>
        <w:jc w:val="both"/>
        <w:rPr>
          <w:lang w:val="el-GR"/>
        </w:rPr>
      </w:pPr>
      <w:r w:rsidRPr="00223CB2">
        <w:rPr>
          <w:lang w:val="el-GR"/>
        </w:rPr>
        <w:t>διαθεσιμότητα γραμμών μεταφοράς δικτύου 150 kV</w:t>
      </w:r>
      <w:r w:rsidR="00223CB2">
        <w:rPr>
          <w:lang w:val="el-GR"/>
        </w:rPr>
        <w:t>,</w:t>
      </w:r>
      <w:r w:rsidRPr="00223CB2">
        <w:rPr>
          <w:lang w:val="el-GR"/>
        </w:rPr>
        <w:t xml:space="preserve"> </w:t>
      </w:r>
    </w:p>
    <w:p w14:paraId="76DE653F" w14:textId="77777777" w:rsidR="000A0735" w:rsidRPr="00223CB2" w:rsidRDefault="000A0735" w:rsidP="00223CB2">
      <w:pPr>
        <w:pStyle w:val="a3"/>
        <w:numPr>
          <w:ilvl w:val="0"/>
          <w:numId w:val="9"/>
        </w:numPr>
        <w:jc w:val="both"/>
        <w:rPr>
          <w:lang w:val="el-GR"/>
        </w:rPr>
      </w:pPr>
      <w:r w:rsidRPr="00223CB2">
        <w:rPr>
          <w:lang w:val="el-GR"/>
        </w:rPr>
        <w:t>διαθεσιμότητα γραμμών μεταφοράς δικτύου 66 kV</w:t>
      </w:r>
      <w:r w:rsidR="00223CB2">
        <w:rPr>
          <w:lang w:val="el-GR"/>
        </w:rPr>
        <w:t>,</w:t>
      </w:r>
      <w:r w:rsidRPr="00223CB2">
        <w:rPr>
          <w:lang w:val="el-GR"/>
        </w:rPr>
        <w:t xml:space="preserve"> </w:t>
      </w:r>
    </w:p>
    <w:p w14:paraId="4CDF2589" w14:textId="77777777" w:rsidR="00570B5C" w:rsidRDefault="00570B5C" w:rsidP="00570B5C">
      <w:pPr>
        <w:pStyle w:val="a3"/>
        <w:numPr>
          <w:ilvl w:val="0"/>
          <w:numId w:val="9"/>
        </w:numPr>
        <w:jc w:val="both"/>
        <w:rPr>
          <w:lang w:val="el-GR"/>
        </w:rPr>
      </w:pPr>
      <w:r>
        <w:rPr>
          <w:lang w:val="el-GR"/>
        </w:rPr>
        <w:t>διαθεσιμότητα διεθνών διασυνδετικών γ</w:t>
      </w:r>
      <w:r w:rsidR="00615F92">
        <w:rPr>
          <w:lang w:val="el-GR"/>
        </w:rPr>
        <w:t>ραμμών</w:t>
      </w:r>
      <w:r>
        <w:rPr>
          <w:lang w:val="el-GR"/>
        </w:rPr>
        <w:t>,</w:t>
      </w:r>
    </w:p>
    <w:p w14:paraId="27AFD828" w14:textId="77777777" w:rsidR="00570B5C" w:rsidRPr="00570B5C" w:rsidRDefault="00570B5C" w:rsidP="00570B5C">
      <w:pPr>
        <w:pStyle w:val="a3"/>
        <w:numPr>
          <w:ilvl w:val="0"/>
          <w:numId w:val="9"/>
        </w:numPr>
        <w:jc w:val="both"/>
        <w:rPr>
          <w:lang w:val="el-GR"/>
        </w:rPr>
      </w:pPr>
      <w:r>
        <w:rPr>
          <w:lang w:val="el-GR"/>
        </w:rPr>
        <w:t>διαθεσιμότητα των διασυνδέσεων νησιών με το</w:t>
      </w:r>
      <w:r w:rsidR="00615F92">
        <w:rPr>
          <w:lang w:val="el-GR"/>
        </w:rPr>
        <w:t xml:space="preserve"> ΕΣΜΗΕ</w:t>
      </w:r>
      <w:r w:rsidRPr="00A51C1F">
        <w:rPr>
          <w:lang w:val="el-GR"/>
        </w:rPr>
        <w:t xml:space="preserve"> </w:t>
      </w:r>
    </w:p>
    <w:p w14:paraId="200432C7" w14:textId="77777777" w:rsidR="000A0735" w:rsidRPr="00223CB2" w:rsidRDefault="000A0735" w:rsidP="00223CB2">
      <w:pPr>
        <w:pStyle w:val="a3"/>
        <w:numPr>
          <w:ilvl w:val="0"/>
          <w:numId w:val="9"/>
        </w:numPr>
        <w:jc w:val="both"/>
        <w:rPr>
          <w:lang w:val="el-GR"/>
        </w:rPr>
      </w:pPr>
      <w:r w:rsidRPr="00223CB2">
        <w:rPr>
          <w:lang w:val="el-GR"/>
        </w:rPr>
        <w:t>διαθεσιμότητα αυτομετασχηματιστών 400/150 kV</w:t>
      </w:r>
      <w:r w:rsidR="00223CB2">
        <w:rPr>
          <w:lang w:val="el-GR"/>
        </w:rPr>
        <w:t>,</w:t>
      </w:r>
      <w:r w:rsidRPr="00223CB2">
        <w:rPr>
          <w:lang w:val="el-GR"/>
        </w:rPr>
        <w:t xml:space="preserve"> </w:t>
      </w:r>
    </w:p>
    <w:p w14:paraId="5C1CB144" w14:textId="77777777" w:rsidR="000A0735" w:rsidRPr="00223CB2" w:rsidRDefault="000A0735" w:rsidP="00223CB2">
      <w:pPr>
        <w:pStyle w:val="a3"/>
        <w:numPr>
          <w:ilvl w:val="0"/>
          <w:numId w:val="9"/>
        </w:numPr>
        <w:jc w:val="both"/>
        <w:rPr>
          <w:lang w:val="el-GR"/>
        </w:rPr>
      </w:pPr>
      <w:r w:rsidRPr="00223CB2">
        <w:rPr>
          <w:lang w:val="el-GR"/>
        </w:rPr>
        <w:t>διαθεσιμότητα μετασχηματιστών 150/66 kV</w:t>
      </w:r>
      <w:r w:rsidR="00223CB2">
        <w:rPr>
          <w:lang w:val="el-GR"/>
        </w:rPr>
        <w:t>,</w:t>
      </w:r>
      <w:r w:rsidRPr="00223CB2">
        <w:rPr>
          <w:lang w:val="el-GR"/>
        </w:rPr>
        <w:t xml:space="preserve"> </w:t>
      </w:r>
    </w:p>
    <w:p w14:paraId="53C967A7" w14:textId="77777777" w:rsidR="00A51C1F" w:rsidRDefault="000A0735" w:rsidP="00D33787">
      <w:pPr>
        <w:pStyle w:val="a3"/>
        <w:numPr>
          <w:ilvl w:val="0"/>
          <w:numId w:val="9"/>
        </w:numPr>
        <w:jc w:val="both"/>
        <w:rPr>
          <w:lang w:val="el-GR"/>
        </w:rPr>
      </w:pPr>
      <w:r w:rsidRPr="00223CB2">
        <w:rPr>
          <w:lang w:val="el-GR"/>
        </w:rPr>
        <w:t xml:space="preserve">διαθεσιμότητα μετασχηματιστών 150 kV προς μέση τάση (μετασχηματιστές στα σημεία σύνδεσης με το ∆ίκτυο ∆ιανομής). </w:t>
      </w:r>
    </w:p>
    <w:p w14:paraId="6963D680" w14:textId="41BD21A6" w:rsidR="00197241" w:rsidRDefault="0088305E" w:rsidP="00902CB3">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B6230D" w:rsidRPr="00B6230D">
        <w:rPr>
          <w:rFonts w:ascii="Arial Black" w:hAnsi="Arial Black"/>
          <w:b/>
          <w:lang w:val="el-GR"/>
        </w:rPr>
        <w:t>4</w:t>
      </w:r>
      <w:r w:rsidR="00F94E37">
        <w:rPr>
          <w:lang w:val="el-GR"/>
        </w:rPr>
        <w:t xml:space="preserve"> </w:t>
      </w:r>
      <w:r w:rsidR="00FD6F62">
        <w:rPr>
          <w:lang w:val="el-GR"/>
        </w:rPr>
        <w:t xml:space="preserve">Ζητείται </w:t>
      </w:r>
      <w:r w:rsidR="00902CB3" w:rsidRPr="00902CB3">
        <w:rPr>
          <w:lang w:val="el-GR"/>
        </w:rPr>
        <w:t xml:space="preserve">η  υποβολή </w:t>
      </w:r>
      <w:r w:rsidR="00A27123">
        <w:rPr>
          <w:lang w:val="el-GR"/>
        </w:rPr>
        <w:t>σε μορφή πίνακα</w:t>
      </w:r>
      <w:r w:rsidR="00ED02DE">
        <w:rPr>
          <w:lang w:val="el-GR"/>
        </w:rPr>
        <w:t xml:space="preserve"> των παρακάτω πληροφοριών, που </w:t>
      </w:r>
      <w:r w:rsidR="00FE3D40">
        <w:rPr>
          <w:lang w:val="el-GR"/>
        </w:rPr>
        <w:t>εμπεριέχονται</w:t>
      </w:r>
      <w:r w:rsidR="00ED02DE">
        <w:rPr>
          <w:lang w:val="el-GR"/>
        </w:rPr>
        <w:t xml:space="preserve"> στους τύπους υπολογισμούς</w:t>
      </w:r>
      <w:r w:rsidR="00FE3D40">
        <w:rPr>
          <w:lang w:val="el-GR"/>
        </w:rPr>
        <w:t xml:space="preserve"> της διαθεσιμότητας</w:t>
      </w:r>
      <w:r w:rsidR="00ED02DE" w:rsidRPr="00ED02DE">
        <w:rPr>
          <w:lang w:val="el-GR"/>
        </w:rPr>
        <w:t>,</w:t>
      </w:r>
      <w:r w:rsidR="00ED02DE">
        <w:rPr>
          <w:lang w:val="el-GR"/>
        </w:rPr>
        <w:t xml:space="preserve"> σχετικά με </w:t>
      </w:r>
      <w:r w:rsidR="00A04CEA">
        <w:rPr>
          <w:lang w:val="el-GR"/>
        </w:rPr>
        <w:t xml:space="preserve">τις γραμμές μεταφοράς </w:t>
      </w:r>
      <w:r w:rsidR="00ED02DE">
        <w:rPr>
          <w:lang w:val="el-GR"/>
        </w:rPr>
        <w:t>και τους Μετασχηματιστές σε</w:t>
      </w:r>
      <w:r w:rsidR="00902CB3" w:rsidRPr="00902CB3">
        <w:rPr>
          <w:lang w:val="el-GR"/>
        </w:rPr>
        <w:t xml:space="preserve"> λειτουργία</w:t>
      </w:r>
      <w:r w:rsidR="00ED02DE" w:rsidRPr="00ED02DE">
        <w:rPr>
          <w:lang w:val="el-GR"/>
        </w:rPr>
        <w:t xml:space="preserve">, </w:t>
      </w:r>
      <w:r w:rsidR="00ED02DE">
        <w:rPr>
          <w:lang w:val="el-GR"/>
        </w:rPr>
        <w:t>για το έτος αναφοράς</w:t>
      </w:r>
      <w:r w:rsidR="00902CB3" w:rsidRPr="00902CB3">
        <w:rPr>
          <w:lang w:val="el-GR"/>
        </w:rPr>
        <w:t xml:space="preserve">: </w:t>
      </w:r>
    </w:p>
    <w:p w14:paraId="3628E4E9" w14:textId="77777777" w:rsidR="00ED02DE" w:rsidRPr="00ED02DE" w:rsidRDefault="00ED02DE" w:rsidP="00902CB3">
      <w:pPr>
        <w:jc w:val="both"/>
      </w:pPr>
      <w:r>
        <w:rPr>
          <w:lang w:val="el-GR"/>
        </w:rPr>
        <w:t xml:space="preserve">Για </w:t>
      </w:r>
      <w:r w:rsidR="00A04CEA">
        <w:rPr>
          <w:lang w:val="el-GR"/>
        </w:rPr>
        <w:t>τις γραμμές μεταφοράς</w:t>
      </w:r>
      <w:r>
        <w:t>:</w:t>
      </w:r>
    </w:p>
    <w:p w14:paraId="59E29483" w14:textId="77777777" w:rsidR="00902CB3" w:rsidRPr="00902CB3" w:rsidRDefault="00902CB3" w:rsidP="00902CB3">
      <w:pPr>
        <w:pStyle w:val="a3"/>
        <w:numPr>
          <w:ilvl w:val="0"/>
          <w:numId w:val="10"/>
        </w:numPr>
        <w:jc w:val="both"/>
        <w:rPr>
          <w:lang w:val="el-GR"/>
        </w:rPr>
      </w:pPr>
      <w:r w:rsidRPr="00902CB3">
        <w:rPr>
          <w:lang w:val="el-GR"/>
        </w:rPr>
        <w:t xml:space="preserve">συνολικό μήκος </w:t>
      </w:r>
      <w:r>
        <w:rPr>
          <w:lang w:val="el-GR"/>
        </w:rPr>
        <w:t xml:space="preserve">γραμμών μεταφοράς 150 kV </w:t>
      </w:r>
      <w:r w:rsidRPr="00902CB3">
        <w:rPr>
          <w:lang w:val="el-GR"/>
        </w:rPr>
        <w:t xml:space="preserve">   </w:t>
      </w:r>
    </w:p>
    <w:p w14:paraId="64684592" w14:textId="77777777" w:rsidR="00902CB3" w:rsidRPr="00902CB3" w:rsidRDefault="00902CB3" w:rsidP="00902CB3">
      <w:pPr>
        <w:pStyle w:val="a3"/>
        <w:numPr>
          <w:ilvl w:val="0"/>
          <w:numId w:val="10"/>
        </w:numPr>
        <w:jc w:val="both"/>
        <w:rPr>
          <w:lang w:val="el-GR"/>
        </w:rPr>
      </w:pPr>
      <w:r w:rsidRPr="00902CB3">
        <w:rPr>
          <w:lang w:val="el-GR"/>
        </w:rPr>
        <w:t xml:space="preserve">συνολικό μήκος </w:t>
      </w:r>
      <w:r>
        <w:rPr>
          <w:lang w:val="el-GR"/>
        </w:rPr>
        <w:t xml:space="preserve">γραμμών μεταφοράς 400 kV </w:t>
      </w:r>
    </w:p>
    <w:p w14:paraId="0F41E608" w14:textId="77777777" w:rsidR="00902CB3" w:rsidRDefault="00902CB3" w:rsidP="00902CB3">
      <w:pPr>
        <w:pStyle w:val="a3"/>
        <w:numPr>
          <w:ilvl w:val="0"/>
          <w:numId w:val="10"/>
        </w:numPr>
        <w:jc w:val="both"/>
        <w:rPr>
          <w:lang w:val="el-GR"/>
        </w:rPr>
      </w:pPr>
      <w:r>
        <w:rPr>
          <w:lang w:val="el-GR"/>
        </w:rPr>
        <w:t xml:space="preserve">συνολικό </w:t>
      </w:r>
      <w:r w:rsidRPr="00902CB3">
        <w:rPr>
          <w:lang w:val="el-GR"/>
        </w:rPr>
        <w:t xml:space="preserve">μήκος </w:t>
      </w:r>
      <w:r>
        <w:rPr>
          <w:lang w:val="el-GR"/>
        </w:rPr>
        <w:t>γραμμών μεταφοράς</w:t>
      </w:r>
      <w:r w:rsidRPr="00902CB3">
        <w:rPr>
          <w:lang w:val="el-GR"/>
        </w:rPr>
        <w:t xml:space="preserve"> 66 kV </w:t>
      </w:r>
    </w:p>
    <w:p w14:paraId="6E227B46" w14:textId="77777777" w:rsidR="00197241" w:rsidRDefault="00197241" w:rsidP="00902CB3">
      <w:pPr>
        <w:pStyle w:val="a3"/>
        <w:numPr>
          <w:ilvl w:val="0"/>
          <w:numId w:val="10"/>
        </w:numPr>
        <w:jc w:val="both"/>
        <w:rPr>
          <w:lang w:val="el-GR"/>
        </w:rPr>
      </w:pPr>
      <w:r>
        <w:rPr>
          <w:lang w:val="el-GR"/>
        </w:rPr>
        <w:t>συνολικό μήκος διεθνών διασυνδετικών γραμμών</w:t>
      </w:r>
    </w:p>
    <w:p w14:paraId="3BE01960" w14:textId="77777777" w:rsidR="00197241" w:rsidRPr="00902CB3" w:rsidRDefault="00197241" w:rsidP="00902CB3">
      <w:pPr>
        <w:pStyle w:val="a3"/>
        <w:numPr>
          <w:ilvl w:val="0"/>
          <w:numId w:val="10"/>
        </w:numPr>
        <w:jc w:val="both"/>
        <w:rPr>
          <w:lang w:val="el-GR"/>
        </w:rPr>
      </w:pPr>
      <w:r>
        <w:rPr>
          <w:lang w:val="el-GR"/>
        </w:rPr>
        <w:t>συνολικό μήκος διασυνδέσεων νησιών με το ΕΣΜΗΕ</w:t>
      </w:r>
    </w:p>
    <w:p w14:paraId="1F3A55EA" w14:textId="77777777" w:rsidR="00ED02DE" w:rsidRPr="00ED02DE" w:rsidRDefault="00ED02DE" w:rsidP="00ED02DE">
      <w:pPr>
        <w:jc w:val="both"/>
      </w:pPr>
      <w:r>
        <w:rPr>
          <w:lang w:val="el-GR"/>
        </w:rPr>
        <w:t>Για τους Μετασχηματιστές</w:t>
      </w:r>
      <w:r>
        <w:t>:</w:t>
      </w:r>
    </w:p>
    <w:p w14:paraId="1BFEA3EA" w14:textId="77777777" w:rsidR="00902CB3" w:rsidRPr="00902CB3" w:rsidRDefault="00902CB3" w:rsidP="00902CB3">
      <w:pPr>
        <w:pStyle w:val="a3"/>
        <w:numPr>
          <w:ilvl w:val="0"/>
          <w:numId w:val="10"/>
        </w:numPr>
        <w:jc w:val="both"/>
        <w:rPr>
          <w:lang w:val="el-GR"/>
        </w:rPr>
      </w:pPr>
      <w:r w:rsidRPr="00902CB3">
        <w:rPr>
          <w:lang w:val="el-GR"/>
        </w:rPr>
        <w:t xml:space="preserve">πλήθος  </w:t>
      </w:r>
    </w:p>
    <w:p w14:paraId="12E2FA70" w14:textId="77777777" w:rsidR="00902CB3" w:rsidRPr="00902CB3" w:rsidRDefault="00902CB3" w:rsidP="00D33787">
      <w:pPr>
        <w:pStyle w:val="a3"/>
        <w:numPr>
          <w:ilvl w:val="0"/>
          <w:numId w:val="10"/>
        </w:numPr>
        <w:jc w:val="both"/>
        <w:rPr>
          <w:lang w:val="el-GR"/>
        </w:rPr>
      </w:pPr>
      <w:r w:rsidRPr="00902CB3">
        <w:rPr>
          <w:lang w:val="el-GR"/>
        </w:rPr>
        <w:t xml:space="preserve">συνολική ισχύς (MVA)   </w:t>
      </w:r>
    </w:p>
    <w:p w14:paraId="28AE5788" w14:textId="77777777" w:rsidR="00A27123" w:rsidRDefault="0088305E" w:rsidP="00A27123">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B6230D" w:rsidRPr="00B6230D">
        <w:rPr>
          <w:rFonts w:ascii="Arial Black" w:hAnsi="Arial Black"/>
          <w:b/>
          <w:lang w:val="el-GR"/>
        </w:rPr>
        <w:t>5</w:t>
      </w:r>
      <w:r w:rsidR="00F94E37">
        <w:rPr>
          <w:lang w:val="el-GR"/>
        </w:rPr>
        <w:t xml:space="preserve"> </w:t>
      </w:r>
      <w:r w:rsidR="00D56D1A">
        <w:rPr>
          <w:lang w:val="el-GR"/>
        </w:rPr>
        <w:t xml:space="preserve"> </w:t>
      </w:r>
      <w:r w:rsidR="00A27123">
        <w:rPr>
          <w:lang w:val="el-GR"/>
        </w:rPr>
        <w:t xml:space="preserve">Η ποσοστιαία διαθεσιμότητα του Συστήματος θα παρουσιάζεται εκτός των άλλων αφαιρετικά, δηλαδή από τη συνολική διαθεσιμότητα που θα προκύπτει για κάθε επιμέρους κατηγορία εξοπλισμού, θα αφαιρούνται τα περιστατικά μη διαθεσιμότητας που διήρκησαν λιγότερο από τρία λεπτά </w:t>
      </w:r>
      <w:r w:rsidR="00A27123" w:rsidRPr="00BA161D">
        <w:rPr>
          <w:b/>
          <w:lang w:val="el-GR"/>
        </w:rPr>
        <w:t>(</w:t>
      </w:r>
      <w:r w:rsidR="00A27123" w:rsidRPr="00BA161D">
        <w:rPr>
          <w:b/>
        </w:rPr>
        <w:t>t</w:t>
      </w:r>
      <w:r w:rsidR="00A27123" w:rsidRPr="00BA161D">
        <w:rPr>
          <w:b/>
          <w:lang w:val="el-GR"/>
        </w:rPr>
        <w:t>&lt;3</w:t>
      </w:r>
      <w:r w:rsidR="00A27123" w:rsidRPr="00BA161D">
        <w:rPr>
          <w:b/>
        </w:rPr>
        <w:t>min</w:t>
      </w:r>
      <w:r w:rsidR="00A27123" w:rsidRPr="00BA161D">
        <w:rPr>
          <w:b/>
          <w:lang w:val="el-GR"/>
        </w:rPr>
        <w:t>)</w:t>
      </w:r>
      <w:r w:rsidR="00197241">
        <w:rPr>
          <w:lang w:val="el-GR"/>
        </w:rPr>
        <w:t>, και θα αναφέρονται εκ νέου τα αποτελέσματα των δεικτών.</w:t>
      </w:r>
      <w:r w:rsidR="00A27123">
        <w:rPr>
          <w:lang w:val="el-GR"/>
        </w:rPr>
        <w:t xml:space="preserve"> </w:t>
      </w:r>
    </w:p>
    <w:p w14:paraId="4360C2C4" w14:textId="77777777" w:rsidR="00A27123" w:rsidRDefault="0088305E" w:rsidP="00D33787">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F27925">
        <w:rPr>
          <w:rFonts w:ascii="Arial Black" w:hAnsi="Arial Black"/>
          <w:b/>
          <w:lang w:val="el-GR"/>
        </w:rPr>
        <w:t>6</w:t>
      </w:r>
      <w:r w:rsidR="00F94E37">
        <w:rPr>
          <w:lang w:val="el-GR"/>
        </w:rPr>
        <w:t xml:space="preserve"> </w:t>
      </w:r>
      <w:r w:rsidR="008932D2">
        <w:rPr>
          <w:lang w:val="el-GR"/>
        </w:rPr>
        <w:t xml:space="preserve">Για κάθε επιμέρους κατηγορία εξοπλισμού, </w:t>
      </w:r>
      <w:r w:rsidR="00FE3D40">
        <w:rPr>
          <w:lang w:val="el-GR"/>
        </w:rPr>
        <w:t xml:space="preserve">α) </w:t>
      </w:r>
      <w:r w:rsidR="008932D2">
        <w:rPr>
          <w:lang w:val="el-GR"/>
        </w:rPr>
        <w:t>γ</w:t>
      </w:r>
      <w:r w:rsidR="00A27123">
        <w:rPr>
          <w:lang w:val="el-GR"/>
        </w:rPr>
        <w:t>ια τη συνολική διαθεσιμότητα</w:t>
      </w:r>
      <w:r w:rsidR="00FE3D40">
        <w:rPr>
          <w:lang w:val="el-GR"/>
        </w:rPr>
        <w:t xml:space="preserve"> που θα υπολογίζεται</w:t>
      </w:r>
      <w:r w:rsidR="008932D2">
        <w:rPr>
          <w:lang w:val="el-GR"/>
        </w:rPr>
        <w:t xml:space="preserve"> </w:t>
      </w:r>
      <w:r w:rsidR="00FE3D40">
        <w:rPr>
          <w:lang w:val="el-GR"/>
        </w:rPr>
        <w:t>για το έτος αναφοράς,</w:t>
      </w:r>
      <w:r w:rsidR="00A27123">
        <w:rPr>
          <w:lang w:val="el-GR"/>
        </w:rPr>
        <w:t xml:space="preserve"> και</w:t>
      </w:r>
      <w:r w:rsidR="00FE3D40">
        <w:rPr>
          <w:lang w:val="el-GR"/>
        </w:rPr>
        <w:t xml:space="preserve"> β)</w:t>
      </w:r>
      <w:r w:rsidR="00A27123">
        <w:rPr>
          <w:lang w:val="el-GR"/>
        </w:rPr>
        <w:t xml:space="preserve"> για τη διαθεσιμότητα</w:t>
      </w:r>
      <w:r w:rsidR="00FE3D40">
        <w:rPr>
          <w:lang w:val="el-GR"/>
        </w:rPr>
        <w:t xml:space="preserve"> που υπολογίζεται</w:t>
      </w:r>
      <w:r w:rsidR="00A27123">
        <w:rPr>
          <w:lang w:val="el-GR"/>
        </w:rPr>
        <w:t xml:space="preserve"> </w:t>
      </w:r>
      <w:r w:rsidR="00FE3D40">
        <w:rPr>
          <w:lang w:val="el-GR"/>
        </w:rPr>
        <w:t xml:space="preserve">για το έτος αναφοράς </w:t>
      </w:r>
      <w:r w:rsidR="00A27123">
        <w:rPr>
          <w:lang w:val="el-GR"/>
        </w:rPr>
        <w:t xml:space="preserve">χωρίς </w:t>
      </w:r>
      <w:r w:rsidR="00FE3D40">
        <w:rPr>
          <w:lang w:val="el-GR"/>
        </w:rPr>
        <w:t>να προσμετρ</w:t>
      </w:r>
      <w:r w:rsidR="00EA3FF2">
        <w:rPr>
          <w:lang w:val="el-GR"/>
        </w:rPr>
        <w:t>ώ</w:t>
      </w:r>
      <w:r w:rsidR="00FE3D40">
        <w:rPr>
          <w:lang w:val="el-GR"/>
        </w:rPr>
        <w:t xml:space="preserve">νται </w:t>
      </w:r>
      <w:r w:rsidR="00A27123">
        <w:rPr>
          <w:lang w:val="el-GR"/>
        </w:rPr>
        <w:t xml:space="preserve">τα γεγονότα απομονώσεων με </w:t>
      </w:r>
      <w:r w:rsidR="00FE3D40">
        <w:rPr>
          <w:lang w:val="el-GR"/>
        </w:rPr>
        <w:t xml:space="preserve">διάρκεια </w:t>
      </w:r>
      <w:r w:rsidR="00A27123">
        <w:t>t</w:t>
      </w:r>
      <w:r w:rsidR="00A27123" w:rsidRPr="00A27123">
        <w:rPr>
          <w:lang w:val="el-GR"/>
        </w:rPr>
        <w:t>&lt;3</w:t>
      </w:r>
      <w:r w:rsidR="00A27123">
        <w:t>min</w:t>
      </w:r>
      <w:r w:rsidR="00A27123" w:rsidRPr="00A27123">
        <w:rPr>
          <w:lang w:val="el-GR"/>
        </w:rPr>
        <w:t xml:space="preserve">, </w:t>
      </w:r>
      <w:r w:rsidR="00A27123">
        <w:rPr>
          <w:lang w:val="el-GR"/>
        </w:rPr>
        <w:t xml:space="preserve">θα γίνεται </w:t>
      </w:r>
      <w:r w:rsidR="00197241">
        <w:rPr>
          <w:lang w:val="el-GR"/>
        </w:rPr>
        <w:t xml:space="preserve">για κάθε περίπτωση (δηλ. α και β) </w:t>
      </w:r>
      <w:r w:rsidR="00A27123">
        <w:rPr>
          <w:lang w:val="el-GR"/>
        </w:rPr>
        <w:t>διακριτός υπολογισμός της διαθεσιμότητας που θα πρ</w:t>
      </w:r>
      <w:r w:rsidR="00EA3FF2">
        <w:rPr>
          <w:lang w:val="el-GR"/>
        </w:rPr>
        <w:t>οκύπτει</w:t>
      </w:r>
      <w:r w:rsidR="00A27123">
        <w:rPr>
          <w:lang w:val="el-GR"/>
        </w:rPr>
        <w:t>, χωρίς να  λαμβάνονται υπόψη γεγονότα διακοπών απομόνωσης κυκλωμάτων και λειτουργίας Μετασχηματιστών που οφείλονταν σε λόγους ανωτέρας</w:t>
      </w:r>
      <w:r w:rsidR="00C34236">
        <w:rPr>
          <w:lang w:val="el-GR"/>
        </w:rPr>
        <w:t xml:space="preserve"> βίας</w:t>
      </w:r>
      <w:r w:rsidR="00A27123">
        <w:rPr>
          <w:lang w:val="el-GR"/>
        </w:rPr>
        <w:t>.</w:t>
      </w:r>
    </w:p>
    <w:p w14:paraId="721CA22E" w14:textId="77777777" w:rsidR="00BA161D" w:rsidRPr="00BA161D" w:rsidRDefault="0088305E" w:rsidP="00FE3D40">
      <w:pPr>
        <w:jc w:val="both"/>
        <w:rPr>
          <w:lang w:val="el-GR"/>
        </w:rPr>
      </w:pPr>
      <w:r>
        <w:rPr>
          <w:rFonts w:ascii="Arial Black" w:hAnsi="Arial Black"/>
          <w:b/>
          <w:lang w:val="el-GR"/>
        </w:rPr>
        <w:lastRenderedPageBreak/>
        <w:t>5</w:t>
      </w:r>
      <w:r w:rsidR="00F94E37" w:rsidRPr="00D56D1A">
        <w:rPr>
          <w:rFonts w:ascii="Arial Black" w:hAnsi="Arial Black"/>
          <w:b/>
          <w:lang w:val="el-GR"/>
        </w:rPr>
        <w:t>.</w:t>
      </w:r>
      <w:r w:rsidR="00D56D1A">
        <w:rPr>
          <w:rFonts w:ascii="Arial Black" w:hAnsi="Arial Black"/>
          <w:b/>
          <w:lang w:val="el-GR"/>
        </w:rPr>
        <w:t>1.</w:t>
      </w:r>
      <w:r w:rsidR="00F27925">
        <w:rPr>
          <w:rFonts w:ascii="Arial Black" w:hAnsi="Arial Black"/>
          <w:b/>
          <w:lang w:val="el-GR"/>
        </w:rPr>
        <w:t>7</w:t>
      </w:r>
      <w:r w:rsidR="00F94E37">
        <w:rPr>
          <w:lang w:val="el-GR"/>
        </w:rPr>
        <w:t xml:space="preserve"> </w:t>
      </w:r>
      <w:r w:rsidR="00BA161D">
        <w:t>O</w:t>
      </w:r>
      <w:r w:rsidR="00BA161D" w:rsidRPr="00BA161D">
        <w:rPr>
          <w:lang w:val="el-GR"/>
        </w:rPr>
        <w:t xml:space="preserve"> </w:t>
      </w:r>
      <w:r w:rsidR="00BA161D">
        <w:rPr>
          <w:lang w:val="el-GR"/>
        </w:rPr>
        <w:t xml:space="preserve">Διαχειριστής του Συστήματος, λαμβάνοντας υπόψη τα </w:t>
      </w:r>
      <w:r w:rsidR="00197241">
        <w:rPr>
          <w:lang w:val="el-GR"/>
        </w:rPr>
        <w:t>περιστατικά</w:t>
      </w:r>
      <w:r w:rsidR="00BA161D">
        <w:rPr>
          <w:lang w:val="el-GR"/>
        </w:rPr>
        <w:t xml:space="preserve"> απομονώσεων που είχαν διάρκεια μεγαλύτερης ή ίσης των τριών λεπτών (</w:t>
      </w:r>
      <w:r w:rsidR="00BA161D">
        <w:t>t</w:t>
      </w:r>
      <w:r w:rsidR="00BA161D" w:rsidRPr="000172DF">
        <w:rPr>
          <w:lang w:val="el-GR"/>
        </w:rPr>
        <w:t>&gt;</w:t>
      </w:r>
      <w:r w:rsidR="00BA161D">
        <w:rPr>
          <w:lang w:val="el-GR"/>
        </w:rPr>
        <w:t>=</w:t>
      </w:r>
      <w:r w:rsidR="00BA161D" w:rsidRPr="000172DF">
        <w:rPr>
          <w:lang w:val="el-GR"/>
        </w:rPr>
        <w:t>3</w:t>
      </w:r>
      <w:r w:rsidR="00BA161D">
        <w:t>min</w:t>
      </w:r>
      <w:r w:rsidR="00BA161D" w:rsidRPr="000172DF">
        <w:rPr>
          <w:lang w:val="el-GR"/>
        </w:rPr>
        <w:t>)</w:t>
      </w:r>
      <w:r w:rsidR="00FE3D40">
        <w:rPr>
          <w:lang w:val="el-GR"/>
        </w:rPr>
        <w:t>, και χωρίς να προσμετρ</w:t>
      </w:r>
      <w:r w:rsidR="00EA3FF2">
        <w:rPr>
          <w:lang w:val="el-GR"/>
        </w:rPr>
        <w:t>ώ</w:t>
      </w:r>
      <w:r w:rsidR="00FE3D40">
        <w:rPr>
          <w:lang w:val="el-GR"/>
        </w:rPr>
        <w:t xml:space="preserve">νται τα γεγονότα </w:t>
      </w:r>
      <w:r w:rsidR="00DA6AF0">
        <w:rPr>
          <w:lang w:val="el-GR"/>
        </w:rPr>
        <w:t xml:space="preserve">διακοπών </w:t>
      </w:r>
      <w:r w:rsidR="00FE3D40">
        <w:rPr>
          <w:lang w:val="el-GR"/>
        </w:rPr>
        <w:t>απομ</w:t>
      </w:r>
      <w:r w:rsidR="00DA6AF0">
        <w:rPr>
          <w:lang w:val="el-GR"/>
        </w:rPr>
        <w:t>όνωσης</w:t>
      </w:r>
      <w:r w:rsidR="00FE3D40">
        <w:rPr>
          <w:lang w:val="el-GR"/>
        </w:rPr>
        <w:t xml:space="preserve"> κυκλωμάτων και</w:t>
      </w:r>
      <w:r w:rsidR="00DA6AF0">
        <w:rPr>
          <w:lang w:val="el-GR"/>
        </w:rPr>
        <w:t xml:space="preserve"> λειτουργίας</w:t>
      </w:r>
      <w:r w:rsidR="00FE3D40">
        <w:rPr>
          <w:lang w:val="el-GR"/>
        </w:rPr>
        <w:t xml:space="preserve"> Μετασχηματιστών που οφείλονταν σε λόγους ανωτέρας βίας, </w:t>
      </w:r>
      <w:r w:rsidR="00BA161D">
        <w:rPr>
          <w:lang w:val="el-GR"/>
        </w:rPr>
        <w:t>θα υπολογίζει και θα αναπαριστά γραφικά</w:t>
      </w:r>
      <w:r w:rsidR="00BA161D" w:rsidRPr="00BA161D">
        <w:rPr>
          <w:lang w:val="el-GR"/>
        </w:rPr>
        <w:t>:</w:t>
      </w:r>
    </w:p>
    <w:p w14:paraId="4F86BBC4" w14:textId="77777777" w:rsidR="00BA161D" w:rsidRPr="007C4C8A" w:rsidRDefault="00BA161D" w:rsidP="007C4C8A">
      <w:pPr>
        <w:pStyle w:val="a3"/>
        <w:numPr>
          <w:ilvl w:val="0"/>
          <w:numId w:val="48"/>
        </w:numPr>
        <w:jc w:val="both"/>
        <w:rPr>
          <w:lang w:val="el-GR"/>
        </w:rPr>
      </w:pPr>
      <w:r>
        <w:t>T</w:t>
      </w:r>
      <w:r w:rsidRPr="007C4C8A">
        <w:rPr>
          <w:lang w:val="el-GR"/>
        </w:rPr>
        <w:t xml:space="preserve">ην ποσοστιαία διαθεσιμότητα για κάθε κατηγορία επιμέρους εξοπλισμού για κάθε μήνα του έτους αναφοράς, </w:t>
      </w:r>
      <w:r w:rsidR="00FE3D40" w:rsidRPr="007C4C8A">
        <w:rPr>
          <w:lang w:val="el-GR"/>
        </w:rPr>
        <w:t>σε αντιδιαστολή με τη</w:t>
      </w:r>
      <w:r w:rsidRPr="007C4C8A">
        <w:rPr>
          <w:lang w:val="el-GR"/>
        </w:rPr>
        <w:t xml:space="preserve"> διαθεσιμότητα που προέκυπτε για τον αντίστοιχο μήνα των προηγούμενων δύο ετών.</w:t>
      </w:r>
    </w:p>
    <w:p w14:paraId="7EDE2E2F" w14:textId="77777777" w:rsidR="00C34236" w:rsidRPr="007C4C8A" w:rsidRDefault="007C4C8A" w:rsidP="00C34236">
      <w:pPr>
        <w:jc w:val="both"/>
        <w:rPr>
          <w:lang w:val="el-GR"/>
        </w:rPr>
      </w:pPr>
      <w:r w:rsidRPr="007C4C8A">
        <w:rPr>
          <w:rFonts w:ascii="Arial Black" w:hAnsi="Arial Black"/>
          <w:lang w:val="el-GR"/>
        </w:rPr>
        <w:t>5.1.</w:t>
      </w:r>
      <w:r w:rsidR="00F27925">
        <w:rPr>
          <w:rFonts w:ascii="Arial Black" w:hAnsi="Arial Black"/>
          <w:lang w:val="el-GR"/>
        </w:rPr>
        <w:t>8</w:t>
      </w:r>
      <w:r w:rsidRPr="007C4C8A">
        <w:rPr>
          <w:rFonts w:ascii="Arial Black" w:hAnsi="Arial Black"/>
          <w:lang w:val="el-GR"/>
        </w:rPr>
        <w:t xml:space="preserve"> </w:t>
      </w:r>
      <w:r>
        <w:t>O</w:t>
      </w:r>
      <w:r w:rsidRPr="00BA161D">
        <w:rPr>
          <w:lang w:val="el-GR"/>
        </w:rPr>
        <w:t xml:space="preserve"> </w:t>
      </w:r>
      <w:r>
        <w:rPr>
          <w:lang w:val="el-GR"/>
        </w:rPr>
        <w:t xml:space="preserve">Διαχειριστής του Συστήματος, λαμβάνοντας υπόψη τα </w:t>
      </w:r>
      <w:r w:rsidR="00197241">
        <w:rPr>
          <w:lang w:val="el-GR"/>
        </w:rPr>
        <w:t>περιστατικά</w:t>
      </w:r>
      <w:r>
        <w:rPr>
          <w:lang w:val="el-GR"/>
        </w:rPr>
        <w:t xml:space="preserve"> απομονώσεων που είχαν διάρκεια μεγαλύτερης ή ίσης των τριών λεπτών (</w:t>
      </w:r>
      <w:r>
        <w:t>t</w:t>
      </w:r>
      <w:r w:rsidRPr="000172DF">
        <w:rPr>
          <w:lang w:val="el-GR"/>
        </w:rPr>
        <w:t>&gt;</w:t>
      </w:r>
      <w:r>
        <w:rPr>
          <w:lang w:val="el-GR"/>
        </w:rPr>
        <w:t>=</w:t>
      </w:r>
      <w:r w:rsidRPr="000172DF">
        <w:rPr>
          <w:lang w:val="el-GR"/>
        </w:rPr>
        <w:t>3</w:t>
      </w:r>
      <w:r>
        <w:t>min</w:t>
      </w:r>
      <w:r>
        <w:rPr>
          <w:lang w:val="el-GR"/>
        </w:rPr>
        <w:t>) θα υπολογίζει και θα αναπαριστά γραφικά</w:t>
      </w:r>
      <w:r w:rsidRPr="00BA161D">
        <w:rPr>
          <w:lang w:val="el-GR"/>
        </w:rPr>
        <w:t>:</w:t>
      </w:r>
    </w:p>
    <w:p w14:paraId="2C9EB511" w14:textId="77777777" w:rsidR="001302C8" w:rsidRPr="00BA161D" w:rsidRDefault="00BA161D" w:rsidP="00BA161D">
      <w:pPr>
        <w:pStyle w:val="a3"/>
        <w:numPr>
          <w:ilvl w:val="0"/>
          <w:numId w:val="13"/>
        </w:numPr>
        <w:jc w:val="both"/>
        <w:rPr>
          <w:lang w:val="el-GR"/>
        </w:rPr>
      </w:pPr>
      <w:r w:rsidRPr="00BA161D">
        <w:rPr>
          <w:lang w:val="el-GR"/>
        </w:rPr>
        <w:t>Τ</w:t>
      </w:r>
      <w:r w:rsidR="00A27123" w:rsidRPr="00BA161D">
        <w:rPr>
          <w:lang w:val="el-GR"/>
        </w:rPr>
        <w:t xml:space="preserve">ην ποσοστιαία κατανομή για </w:t>
      </w:r>
      <w:r w:rsidR="00902CB3" w:rsidRPr="00BA161D">
        <w:rPr>
          <w:lang w:val="el-GR"/>
        </w:rPr>
        <w:t>τις αιτίες</w:t>
      </w:r>
      <w:r w:rsidR="001302C8" w:rsidRPr="00BA161D">
        <w:rPr>
          <w:lang w:val="el-GR"/>
        </w:rPr>
        <w:t xml:space="preserve"> µη διαθεσιµότητα</w:t>
      </w:r>
      <w:r w:rsidR="00902CB3" w:rsidRPr="00BA161D">
        <w:rPr>
          <w:lang w:val="el-GR"/>
        </w:rPr>
        <w:t>ς</w:t>
      </w:r>
      <w:r w:rsidR="001302C8" w:rsidRPr="00BA161D">
        <w:rPr>
          <w:lang w:val="el-GR"/>
        </w:rPr>
        <w:t xml:space="preserve"> </w:t>
      </w:r>
      <w:r w:rsidR="00902CB3" w:rsidRPr="00BA161D">
        <w:rPr>
          <w:lang w:val="el-GR"/>
        </w:rPr>
        <w:t>των επιμέρους κατηγοριών εξοπλισμού</w:t>
      </w:r>
      <w:r w:rsidRPr="00BA161D">
        <w:rPr>
          <w:lang w:val="el-GR"/>
        </w:rPr>
        <w:t>,</w:t>
      </w:r>
      <w:r w:rsidR="001302C8" w:rsidRPr="00BA161D">
        <w:rPr>
          <w:lang w:val="el-GR"/>
        </w:rPr>
        <w:t xml:space="preserve"> </w:t>
      </w:r>
      <w:r w:rsidR="00902CB3" w:rsidRPr="00BA161D">
        <w:rPr>
          <w:lang w:val="el-GR"/>
        </w:rPr>
        <w:t xml:space="preserve">για το έτος αναφοράς </w:t>
      </w:r>
      <w:r w:rsidR="007C4C8A">
        <w:rPr>
          <w:lang w:val="el-GR"/>
        </w:rPr>
        <w:t xml:space="preserve">και σε σύγκριση με το προηγούμενο έτος </w:t>
      </w:r>
      <w:r w:rsidR="001302C8" w:rsidRPr="00BA161D">
        <w:rPr>
          <w:lang w:val="el-GR"/>
        </w:rPr>
        <w:t xml:space="preserve">ως εξής: </w:t>
      </w:r>
    </w:p>
    <w:p w14:paraId="5F95078B" w14:textId="77777777" w:rsidR="001302C8" w:rsidRPr="00902CB3" w:rsidRDefault="006056B3" w:rsidP="00BA161D">
      <w:pPr>
        <w:pStyle w:val="a3"/>
        <w:numPr>
          <w:ilvl w:val="0"/>
          <w:numId w:val="14"/>
        </w:numPr>
        <w:jc w:val="both"/>
        <w:rPr>
          <w:lang w:val="el-GR"/>
        </w:rPr>
      </w:pPr>
      <w:r w:rsidRPr="00902CB3">
        <w:rPr>
          <w:lang w:val="el-GR"/>
        </w:rPr>
        <w:t>μη διαθεσιμότητα λόγω Ασφάλειας Συστήματος</w:t>
      </w:r>
      <w:r w:rsidR="001302C8" w:rsidRPr="00902CB3">
        <w:rPr>
          <w:lang w:val="el-GR"/>
        </w:rPr>
        <w:t xml:space="preserve"> </w:t>
      </w:r>
    </w:p>
    <w:p w14:paraId="734F4C70" w14:textId="77777777" w:rsidR="001302C8" w:rsidRPr="00902CB3" w:rsidRDefault="001302C8" w:rsidP="00BA161D">
      <w:pPr>
        <w:pStyle w:val="a3"/>
        <w:numPr>
          <w:ilvl w:val="0"/>
          <w:numId w:val="14"/>
        </w:numPr>
        <w:jc w:val="both"/>
        <w:rPr>
          <w:lang w:val="el-GR"/>
        </w:rPr>
      </w:pPr>
      <w:r w:rsidRPr="00902CB3">
        <w:rPr>
          <w:lang w:val="el-GR"/>
        </w:rPr>
        <w:t xml:space="preserve">µη διαθεσιµότητα λόγω </w:t>
      </w:r>
      <w:r w:rsidR="006056B3" w:rsidRPr="00902CB3">
        <w:rPr>
          <w:lang w:val="el-GR"/>
        </w:rPr>
        <w:t>Προγραμματισμένων Εργασιών</w:t>
      </w:r>
    </w:p>
    <w:p w14:paraId="443468F0" w14:textId="77777777" w:rsidR="001302C8" w:rsidRPr="00902CB3" w:rsidRDefault="001302C8" w:rsidP="00BA161D">
      <w:pPr>
        <w:pStyle w:val="a3"/>
        <w:numPr>
          <w:ilvl w:val="0"/>
          <w:numId w:val="14"/>
        </w:numPr>
        <w:jc w:val="both"/>
        <w:rPr>
          <w:lang w:val="el-GR"/>
        </w:rPr>
      </w:pPr>
      <w:r w:rsidRPr="00902CB3">
        <w:rPr>
          <w:lang w:val="el-GR"/>
        </w:rPr>
        <w:t xml:space="preserve">µη διαθεσιµότητα λόγω </w:t>
      </w:r>
      <w:r w:rsidR="006056B3" w:rsidRPr="00902CB3">
        <w:rPr>
          <w:lang w:val="el-GR"/>
        </w:rPr>
        <w:t>Σφάλματος/Ανωμαλίας</w:t>
      </w:r>
    </w:p>
    <w:p w14:paraId="29AA8998" w14:textId="77777777" w:rsidR="001302C8" w:rsidRPr="00902CB3" w:rsidRDefault="001302C8" w:rsidP="00BA161D">
      <w:pPr>
        <w:pStyle w:val="a3"/>
        <w:numPr>
          <w:ilvl w:val="0"/>
          <w:numId w:val="14"/>
        </w:numPr>
        <w:jc w:val="both"/>
        <w:rPr>
          <w:lang w:val="el-GR"/>
        </w:rPr>
      </w:pPr>
      <w:r w:rsidRPr="00902CB3">
        <w:rPr>
          <w:lang w:val="el-GR"/>
        </w:rPr>
        <w:t xml:space="preserve">µη διαθεσιµότητα λόγω </w:t>
      </w:r>
      <w:r w:rsidR="006056B3" w:rsidRPr="00902CB3">
        <w:rPr>
          <w:lang w:val="el-GR"/>
        </w:rPr>
        <w:t>ανωτέρας βίας</w:t>
      </w:r>
    </w:p>
    <w:p w14:paraId="0E6D4DDC" w14:textId="77777777" w:rsidR="006056B3" w:rsidRPr="00BA161D" w:rsidRDefault="0088305E" w:rsidP="00D33787">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F27925">
        <w:rPr>
          <w:rFonts w:ascii="Arial Black" w:hAnsi="Arial Black"/>
          <w:b/>
          <w:lang w:val="el-GR"/>
        </w:rPr>
        <w:t>9</w:t>
      </w:r>
      <w:r w:rsidR="00F94E37">
        <w:rPr>
          <w:lang w:val="el-GR"/>
        </w:rPr>
        <w:t xml:space="preserve"> </w:t>
      </w:r>
      <w:r w:rsidR="00BA161D">
        <w:rPr>
          <w:lang w:val="el-GR"/>
        </w:rPr>
        <w:t>Οι αιτίες μη διαθεσιμότητας αναλύονται</w:t>
      </w:r>
      <w:r w:rsidR="00FE3D40">
        <w:rPr>
          <w:lang w:val="el-GR"/>
        </w:rPr>
        <w:t xml:space="preserve"> περαιτέρω</w:t>
      </w:r>
      <w:r w:rsidR="00BA161D">
        <w:rPr>
          <w:lang w:val="el-GR"/>
        </w:rPr>
        <w:t xml:space="preserve"> ως εξής</w:t>
      </w:r>
      <w:r w:rsidR="00BA161D" w:rsidRPr="00BA161D">
        <w:rPr>
          <w:lang w:val="el-GR"/>
        </w:rPr>
        <w:t>:</w:t>
      </w:r>
    </w:p>
    <w:p w14:paraId="1250A8E5" w14:textId="77777777" w:rsidR="006056B3" w:rsidRPr="00ED78C4" w:rsidRDefault="006056B3" w:rsidP="006056B3">
      <w:pPr>
        <w:pStyle w:val="a3"/>
        <w:numPr>
          <w:ilvl w:val="0"/>
          <w:numId w:val="8"/>
        </w:numPr>
        <w:jc w:val="both"/>
        <w:rPr>
          <w:lang w:val="el-GR"/>
        </w:rPr>
      </w:pPr>
      <w:r w:rsidRPr="005B2820">
        <w:rPr>
          <w:b/>
          <w:bCs/>
          <w:lang w:val="el-GR"/>
        </w:rPr>
        <w:t>Ασφάλεια Συστήματος</w:t>
      </w:r>
      <w:r w:rsidRPr="00ED78C4">
        <w:rPr>
          <w:lang w:val="el-GR"/>
        </w:rPr>
        <w:t xml:space="preserve">: Συχνά </w:t>
      </w:r>
      <w:r w:rsidR="005270AF">
        <w:rPr>
          <w:lang w:val="el-GR"/>
        </w:rPr>
        <w:t>προγραμματίζονται</w:t>
      </w:r>
      <w:r w:rsidRPr="00ED78C4">
        <w:rPr>
          <w:lang w:val="el-GR"/>
        </w:rPr>
        <w:t xml:space="preserve"> </w:t>
      </w:r>
      <w:r>
        <w:rPr>
          <w:lang w:val="el-GR"/>
        </w:rPr>
        <w:t>απομονώσεις</w:t>
      </w:r>
      <w:r w:rsidRPr="00ED78C4">
        <w:rPr>
          <w:lang w:val="el-GR"/>
        </w:rPr>
        <w:t xml:space="preserve"> τμημάτων του Συστήματος Μεταφοράς</w:t>
      </w:r>
      <w:r w:rsidRPr="00072E8E">
        <w:rPr>
          <w:lang w:val="el-GR"/>
        </w:rPr>
        <w:t xml:space="preserve"> </w:t>
      </w:r>
      <w:r>
        <w:rPr>
          <w:lang w:val="el-GR"/>
        </w:rPr>
        <w:t>για ρύθμιση τάσης και</w:t>
      </w:r>
      <w:r w:rsidRPr="00ED78C4">
        <w:rPr>
          <w:lang w:val="el-GR"/>
        </w:rPr>
        <w:t xml:space="preserve"> αποφυγή της πιθανότητας αλυσιδωτών διακοπών περισσότερων τμημάτων ή κατάρρευσης της τάσης σε περισσότερους ζυγούς του συστήματος μεταφοράς ως αποτέλεσμα μίας μεμονωμένης διαταραχής.</w:t>
      </w:r>
    </w:p>
    <w:p w14:paraId="3B6C26F8" w14:textId="77777777" w:rsidR="006056B3" w:rsidRPr="00ED78C4" w:rsidRDefault="006056B3" w:rsidP="006056B3">
      <w:pPr>
        <w:pStyle w:val="a3"/>
        <w:numPr>
          <w:ilvl w:val="0"/>
          <w:numId w:val="8"/>
        </w:numPr>
        <w:jc w:val="both"/>
        <w:rPr>
          <w:lang w:val="el-GR"/>
        </w:rPr>
      </w:pPr>
      <w:r w:rsidRPr="005B2820">
        <w:rPr>
          <w:b/>
          <w:bCs/>
          <w:lang w:val="el-GR"/>
        </w:rPr>
        <w:t>Προγραμματισμένες εργασίες</w:t>
      </w:r>
      <w:r w:rsidRPr="00ED78C4">
        <w:rPr>
          <w:lang w:val="el-GR"/>
        </w:rPr>
        <w:t>: Συχνά απαιτούνται προγραμματισμένες διακοπές λειτουργίας τμημάτων του Συστήματος Μεταφοράς για λόγους επιδιόρθωσης, συντήρησης</w:t>
      </w:r>
      <w:r>
        <w:rPr>
          <w:lang w:val="el-GR"/>
        </w:rPr>
        <w:t>, αντικατάστασης</w:t>
      </w:r>
      <w:r w:rsidRPr="00ED78C4">
        <w:rPr>
          <w:lang w:val="el-GR"/>
        </w:rPr>
        <w:t xml:space="preserve"> ή/και αναβάθμισης τους. Επιπλέον, ενδεχομένως κάποιες διακοπές λειτουργίας τμημάτων του Συστήματος Μεταφοράς να οφείλονται και στη σύνδεση νέων χρηστών σε αυτό</w:t>
      </w:r>
      <w:r>
        <w:rPr>
          <w:lang w:val="el-GR"/>
        </w:rPr>
        <w:t>.</w:t>
      </w:r>
    </w:p>
    <w:p w14:paraId="3F1FC066" w14:textId="77777777" w:rsidR="006056B3" w:rsidRDefault="006056B3" w:rsidP="00D33787">
      <w:pPr>
        <w:pStyle w:val="a3"/>
        <w:numPr>
          <w:ilvl w:val="0"/>
          <w:numId w:val="8"/>
        </w:numPr>
        <w:jc w:val="both"/>
        <w:rPr>
          <w:lang w:val="el-GR"/>
        </w:rPr>
      </w:pPr>
      <w:r w:rsidRPr="005B2820">
        <w:rPr>
          <w:b/>
          <w:bCs/>
          <w:lang w:val="el-GR"/>
        </w:rPr>
        <w:t>Ανωμαλία/Σφάλμα</w:t>
      </w:r>
      <w:r w:rsidRPr="00ED78C4">
        <w:rPr>
          <w:lang w:val="el-GR"/>
        </w:rPr>
        <w:t xml:space="preserve">: Μη </w:t>
      </w:r>
      <w:r w:rsidR="007C4C8A">
        <w:rPr>
          <w:lang w:val="el-GR"/>
        </w:rPr>
        <w:t>προγραμματισμένη</w:t>
      </w:r>
      <w:r w:rsidRPr="00ED78C4">
        <w:rPr>
          <w:lang w:val="el-GR"/>
        </w:rPr>
        <w:t xml:space="preserve"> διακοπή λειτουργίας</w:t>
      </w:r>
      <w:r w:rsidR="00C34236">
        <w:rPr>
          <w:lang w:val="el-GR"/>
        </w:rPr>
        <w:t xml:space="preserve"> ή απομόνωση</w:t>
      </w:r>
      <w:r w:rsidRPr="00ED78C4">
        <w:rPr>
          <w:lang w:val="el-GR"/>
        </w:rPr>
        <w:t xml:space="preserve"> τμήματος του Συστήματος μεταφοράς λόγω σφάλματος ή ανωμαλίας</w:t>
      </w:r>
      <w:r w:rsidR="00C34236">
        <w:rPr>
          <w:lang w:val="el-GR"/>
        </w:rPr>
        <w:t xml:space="preserve">, </w:t>
      </w:r>
      <w:r w:rsidRPr="00ED78C4">
        <w:rPr>
          <w:lang w:val="el-GR"/>
        </w:rPr>
        <w:t xml:space="preserve">που οδηγεί </w:t>
      </w:r>
      <w:r w:rsidR="005270AF">
        <w:rPr>
          <w:lang w:val="el-GR"/>
        </w:rPr>
        <w:t>σε</w:t>
      </w:r>
      <w:r w:rsidRPr="00ED78C4">
        <w:rPr>
          <w:lang w:val="el-GR"/>
        </w:rPr>
        <w:t xml:space="preserve"> αποσύνδεση του επηρεαζόμενου εξοπλισμού από το σύστημα με αυτόματη</w:t>
      </w:r>
      <w:r w:rsidR="00981575" w:rsidRPr="00981575">
        <w:rPr>
          <w:lang w:val="el-GR"/>
        </w:rPr>
        <w:t>/</w:t>
      </w:r>
      <w:r w:rsidR="00981575">
        <w:rPr>
          <w:lang w:val="el-GR"/>
        </w:rPr>
        <w:t>χειροκίνητη</w:t>
      </w:r>
      <w:r w:rsidRPr="00ED78C4">
        <w:rPr>
          <w:lang w:val="el-GR"/>
        </w:rPr>
        <w:t xml:space="preserve"> ενεργοποίηση του</w:t>
      </w:r>
      <w:r>
        <w:rPr>
          <w:lang w:val="el-GR"/>
        </w:rPr>
        <w:t xml:space="preserve"> συστήματος προστασίας (π.χ. </w:t>
      </w:r>
      <w:r>
        <w:t>circuit</w:t>
      </w:r>
      <w:r>
        <w:rPr>
          <w:lang w:val="el-GR"/>
        </w:rPr>
        <w:t xml:space="preserve"> </w:t>
      </w:r>
      <w:r>
        <w:t>breaker</w:t>
      </w:r>
      <w:r>
        <w:rPr>
          <w:lang w:val="el-GR"/>
        </w:rPr>
        <w:t>)</w:t>
      </w:r>
      <w:r w:rsidRPr="00ED78C4">
        <w:rPr>
          <w:lang w:val="el-GR"/>
        </w:rPr>
        <w:t>.</w:t>
      </w:r>
    </w:p>
    <w:p w14:paraId="4024EDC2" w14:textId="77777777" w:rsidR="000F6D44" w:rsidRDefault="000F6D44" w:rsidP="000F6D44">
      <w:pPr>
        <w:pStyle w:val="a3"/>
        <w:numPr>
          <w:ilvl w:val="0"/>
          <w:numId w:val="8"/>
        </w:numPr>
        <w:jc w:val="both"/>
        <w:rPr>
          <w:lang w:val="el-GR"/>
        </w:rPr>
      </w:pPr>
      <w:bookmarkStart w:id="13" w:name="_Hlk100751941"/>
      <w:r>
        <w:rPr>
          <w:lang w:val="el-GR"/>
        </w:rPr>
        <w:t xml:space="preserve">Τα γεγονότα </w:t>
      </w:r>
      <w:r w:rsidRPr="000F6D44">
        <w:rPr>
          <w:b/>
          <w:bCs/>
          <w:lang w:val="el-GR"/>
        </w:rPr>
        <w:t>"ανωτέρας βίας"</w:t>
      </w:r>
      <w:r>
        <w:rPr>
          <w:lang w:val="el-GR"/>
        </w:rPr>
        <w:t xml:space="preserve"> οφείλονται σε </w:t>
      </w:r>
      <w:r w:rsidRPr="00A70BAF">
        <w:rPr>
          <w:lang w:val="el-GR"/>
        </w:rPr>
        <w:t>εξωγενείς προς τον ΑΔΜΗΕ παράγοντες που εκφεύγουν της δυνατότητας ελέγχου του</w:t>
      </w:r>
      <w:r>
        <w:rPr>
          <w:lang w:val="el-GR"/>
        </w:rPr>
        <w:t xml:space="preserve"> </w:t>
      </w:r>
      <w:r w:rsidRPr="00A70BAF">
        <w:rPr>
          <w:lang w:val="el-GR"/>
        </w:rPr>
        <w:t>(όπως ενδεικτικά και όχι περιοριστικά, καπνός από πυρκαγιές σε παρακείμενες περιοχές, πλημμύρες, πόλεμοι, σεισμοί, φυσικές καταστροφές, διαδηλώσεις, λεηλασίες, εγκληματικές ενέργειες, επιθέσεις, εκρήξεις, περιπτώσεις διακοπών που διατάσσονται από δημόσιες αρχές για λόγους δημόσιας ασφάλειας κλπ)</w:t>
      </w:r>
      <w:r>
        <w:rPr>
          <w:lang w:val="el-GR"/>
        </w:rPr>
        <w:t>.</w:t>
      </w:r>
    </w:p>
    <w:bookmarkEnd w:id="13"/>
    <w:p w14:paraId="63C20A1C" w14:textId="77777777" w:rsidR="00F94E37" w:rsidRPr="00F94E37" w:rsidRDefault="0088305E" w:rsidP="00D33787">
      <w:pPr>
        <w:jc w:val="both"/>
        <w:rPr>
          <w:lang w:val="el-GR"/>
        </w:rPr>
      </w:pPr>
      <w:r>
        <w:rPr>
          <w:rFonts w:ascii="Arial Black" w:hAnsi="Arial Black"/>
          <w:b/>
          <w:lang w:val="el-GR"/>
        </w:rPr>
        <w:t>5</w:t>
      </w:r>
      <w:r w:rsidR="00F94E37" w:rsidRPr="00D56D1A">
        <w:rPr>
          <w:rFonts w:ascii="Arial Black" w:hAnsi="Arial Black"/>
          <w:b/>
          <w:lang w:val="el-GR"/>
        </w:rPr>
        <w:t>.</w:t>
      </w:r>
      <w:r w:rsidR="00D56D1A">
        <w:rPr>
          <w:rFonts w:ascii="Arial Black" w:hAnsi="Arial Black"/>
          <w:b/>
          <w:lang w:val="el-GR"/>
        </w:rPr>
        <w:t>1.</w:t>
      </w:r>
      <w:r w:rsidR="00F27925">
        <w:rPr>
          <w:rFonts w:ascii="Arial Black" w:hAnsi="Arial Black"/>
          <w:b/>
          <w:lang w:val="el-GR"/>
        </w:rPr>
        <w:t>10</w:t>
      </w:r>
      <w:r w:rsidR="00F94E37">
        <w:rPr>
          <w:lang w:val="el-GR"/>
        </w:rPr>
        <w:t xml:space="preserve"> Διευκρινιστικές Οδηγίες για τον υπολογισμό των δεικτών διαθεσιμότητας</w:t>
      </w:r>
      <w:r w:rsidR="00F94E37" w:rsidRPr="00F94E37">
        <w:rPr>
          <w:lang w:val="el-GR"/>
        </w:rPr>
        <w:t>:</w:t>
      </w:r>
    </w:p>
    <w:p w14:paraId="260ABDD3" w14:textId="77777777" w:rsidR="00DF68B4" w:rsidRPr="006537DA" w:rsidRDefault="006537DA" w:rsidP="00F94E37">
      <w:pPr>
        <w:pStyle w:val="a3"/>
        <w:numPr>
          <w:ilvl w:val="0"/>
          <w:numId w:val="15"/>
        </w:numPr>
        <w:jc w:val="both"/>
        <w:rPr>
          <w:lang w:val="el-GR"/>
        </w:rPr>
      </w:pPr>
      <w:bookmarkStart w:id="14" w:name="_Hlk100218971"/>
      <w:r w:rsidRPr="006537DA">
        <w:rPr>
          <w:lang w:val="el-GR"/>
        </w:rPr>
        <w:t>Γ</w:t>
      </w:r>
      <w:r w:rsidR="00DF68B4" w:rsidRPr="006537DA">
        <w:rPr>
          <w:lang w:val="el-GR"/>
        </w:rPr>
        <w:t>ια να χαρακτηριστεί η μη διαθεσιμότητα Στοιχείου του Συστήματος ως προγραμματισμένη</w:t>
      </w:r>
      <w:r w:rsidRPr="006537DA">
        <w:rPr>
          <w:lang w:val="el-GR"/>
        </w:rPr>
        <w:t>, θα πρέπει να έχει προηγηθεί ενημέρωση από τον Διαχειριστή τουλάχιστον 24 ώρες πριν</w:t>
      </w:r>
      <w:r w:rsidR="00DF68B4" w:rsidRPr="006537DA">
        <w:rPr>
          <w:lang w:val="el-GR"/>
        </w:rPr>
        <w:t>.</w:t>
      </w:r>
    </w:p>
    <w:bookmarkEnd w:id="14"/>
    <w:p w14:paraId="0520FF7A" w14:textId="77777777" w:rsidR="000A0735" w:rsidRPr="00F94E37" w:rsidRDefault="000A0735" w:rsidP="00F94E37">
      <w:pPr>
        <w:pStyle w:val="a3"/>
        <w:numPr>
          <w:ilvl w:val="0"/>
          <w:numId w:val="15"/>
        </w:numPr>
        <w:jc w:val="both"/>
        <w:rPr>
          <w:lang w:val="el-GR"/>
        </w:rPr>
      </w:pPr>
      <w:r w:rsidRPr="00F94E37">
        <w:rPr>
          <w:lang w:val="el-GR"/>
        </w:rPr>
        <w:t>Ο  χρόνος  έναρξης  μη  διαθεσιμότητας  στοιχείου  μεταφοράς    (ημέρα  και  ώρα)  είναι  ο χρόνος κατά τον οποίο το σχετικό στοιχείο αυτόματα, σκόπιμα ή με κάποιο άλλο τρόπο αποσυνδέεται.</w:t>
      </w:r>
    </w:p>
    <w:p w14:paraId="5DF5AB28" w14:textId="77777777" w:rsidR="000A0735" w:rsidRPr="00F94E37" w:rsidRDefault="00BA161D" w:rsidP="00F94E37">
      <w:pPr>
        <w:pStyle w:val="a3"/>
        <w:numPr>
          <w:ilvl w:val="0"/>
          <w:numId w:val="15"/>
        </w:numPr>
        <w:jc w:val="both"/>
        <w:rPr>
          <w:lang w:val="el-GR"/>
        </w:rPr>
      </w:pPr>
      <w:r w:rsidRPr="00F94E37">
        <w:rPr>
          <w:lang w:val="el-GR"/>
        </w:rPr>
        <w:lastRenderedPageBreak/>
        <w:t xml:space="preserve">Ο </w:t>
      </w:r>
      <w:r w:rsidR="000A0735" w:rsidRPr="00F94E37">
        <w:rPr>
          <w:lang w:val="el-GR"/>
        </w:rPr>
        <w:t>χρόνος λήξης της μη διαθεσιμότητας στοιχείου μεταφοράς  (ημέρα και ώρα) είναι ο χρόνος κατά τον οποίο το σχετικό στοιχείο επανέρχεται σε κανονική λειτουργία.</w:t>
      </w:r>
    </w:p>
    <w:p w14:paraId="34B41472" w14:textId="77777777" w:rsidR="000A0735" w:rsidRPr="00F94E37" w:rsidRDefault="000A0735" w:rsidP="00F94E37">
      <w:pPr>
        <w:pStyle w:val="a3"/>
        <w:numPr>
          <w:ilvl w:val="0"/>
          <w:numId w:val="15"/>
        </w:numPr>
        <w:jc w:val="both"/>
        <w:rPr>
          <w:lang w:val="el-GR"/>
        </w:rPr>
      </w:pPr>
      <w:bookmarkStart w:id="15" w:name="_Hlk100752103"/>
      <w:r w:rsidRPr="00F94E37">
        <w:rPr>
          <w:lang w:val="el-GR"/>
        </w:rPr>
        <w:t>Εάν η µη διαθεσιµότητα ενός στοιχείου µεταφοράς οδηγεί σε µη διαθεσιµότητα και άλλων στοιχείων µεταφοράς τότε θα δηλώνεται µη διαθεσιµότητα για το σύνολο των στοιχείων µεταφοράς (οµάδα στοιχείων µεταφοράς) που δεν είναι διαθέσιµα.</w:t>
      </w:r>
    </w:p>
    <w:bookmarkEnd w:id="15"/>
    <w:p w14:paraId="7B811700" w14:textId="77777777" w:rsidR="00615F92" w:rsidRPr="00615F92" w:rsidRDefault="00615F92" w:rsidP="00615F92">
      <w:pPr>
        <w:rPr>
          <w:lang w:val="el-GR"/>
        </w:rPr>
      </w:pPr>
    </w:p>
    <w:p w14:paraId="225C670B" w14:textId="77777777" w:rsidR="00D56D1A" w:rsidRDefault="00EC0B2A" w:rsidP="0088305E">
      <w:pPr>
        <w:pStyle w:val="1"/>
        <w:numPr>
          <w:ilvl w:val="0"/>
          <w:numId w:val="45"/>
        </w:numPr>
        <w:rPr>
          <w:b/>
          <w:color w:val="auto"/>
          <w:lang w:val="el-GR"/>
        </w:rPr>
      </w:pPr>
      <w:bookmarkStart w:id="16" w:name="_Toc100851210"/>
      <w:r w:rsidRPr="00EC0B2A">
        <w:rPr>
          <w:b/>
          <w:color w:val="auto"/>
          <w:lang w:val="el-GR"/>
        </w:rPr>
        <w:t>Αγορά εξισορρόπησης</w:t>
      </w:r>
      <w:bookmarkEnd w:id="16"/>
      <w:r w:rsidRPr="00EC0B2A">
        <w:rPr>
          <w:b/>
          <w:color w:val="auto"/>
          <w:lang w:val="el-GR"/>
        </w:rPr>
        <w:t xml:space="preserve"> </w:t>
      </w:r>
    </w:p>
    <w:p w14:paraId="4DE9D734" w14:textId="77777777" w:rsidR="00D56D1A" w:rsidRDefault="00D56D1A" w:rsidP="00D56D1A">
      <w:pPr>
        <w:pStyle w:val="2"/>
        <w:rPr>
          <w:lang w:val="el-GR"/>
        </w:rPr>
      </w:pPr>
    </w:p>
    <w:p w14:paraId="1EF1C74D" w14:textId="77777777" w:rsidR="0091648A" w:rsidRPr="00D56D1A" w:rsidRDefault="0088305E" w:rsidP="00D56D1A">
      <w:pPr>
        <w:pStyle w:val="2"/>
        <w:rPr>
          <w:lang w:val="el-GR"/>
        </w:rPr>
      </w:pPr>
      <w:bookmarkStart w:id="17" w:name="_Toc100851211"/>
      <w:r>
        <w:rPr>
          <w:lang w:val="el-GR"/>
        </w:rPr>
        <w:t>6</w:t>
      </w:r>
      <w:r w:rsidR="00D56D1A">
        <w:rPr>
          <w:lang w:val="el-GR"/>
        </w:rPr>
        <w:t xml:space="preserve">.1 Δείκτες Σφάλματος Πρόβλεψης - </w:t>
      </w:r>
      <w:r w:rsidR="00EC0B2A" w:rsidRPr="00EC0B2A">
        <w:t>Forecast</w:t>
      </w:r>
      <w:r w:rsidR="00EC0B2A" w:rsidRPr="00B6314E">
        <w:rPr>
          <w:lang w:val="el-GR"/>
        </w:rPr>
        <w:t xml:space="preserve"> </w:t>
      </w:r>
      <w:r w:rsidR="00EC0B2A" w:rsidRPr="00EC0B2A">
        <w:t>KPIs</w:t>
      </w:r>
      <w:bookmarkEnd w:id="17"/>
    </w:p>
    <w:p w14:paraId="3C778D8B" w14:textId="77777777" w:rsidR="00022EF3" w:rsidRDefault="00022EF3" w:rsidP="0091648A">
      <w:pPr>
        <w:jc w:val="both"/>
        <w:rPr>
          <w:bCs/>
          <w:lang w:val="el-GR"/>
        </w:rPr>
      </w:pPr>
      <w:r>
        <w:t>O</w:t>
      </w:r>
      <w:r w:rsidRPr="006270C4">
        <w:rPr>
          <w:lang w:val="el-GR"/>
        </w:rPr>
        <w:t xml:space="preserve"> βασικός σκοπός της αγοράς εξισορρόπησης είναι η εξισορρόπηση των αποκλίσεων της ενέργειας που προκύπτουν λόγω των σφαλμάτων πρόβλεψης φορτίου και ΑΠΕ, καθώς και λόγω μη προγραμματισμένων μεταβολών σε σχέση με την επίλυση της ΔΕΠ.</w:t>
      </w:r>
    </w:p>
    <w:p w14:paraId="517DECA7" w14:textId="77777777" w:rsidR="0091648A" w:rsidRPr="0091648A" w:rsidRDefault="0091648A" w:rsidP="0091648A">
      <w:pPr>
        <w:jc w:val="both"/>
        <w:rPr>
          <w:lang w:val="el-GR"/>
        </w:rPr>
      </w:pPr>
      <w:r w:rsidRPr="00393192">
        <w:rPr>
          <w:bCs/>
          <w:lang w:val="el-GR"/>
        </w:rPr>
        <w:t>Η</w:t>
      </w:r>
      <w:r>
        <w:rPr>
          <w:bCs/>
          <w:lang w:val="el-GR"/>
        </w:rPr>
        <w:t xml:space="preserve"> ικανοποιητική πρόβλεψη της ζήτησης στο Σύστημα και παραγωγής των ΑΠΕ Συστήματος</w:t>
      </w:r>
      <w:r w:rsidRPr="00393192">
        <w:rPr>
          <w:bCs/>
          <w:lang w:val="el-GR"/>
        </w:rPr>
        <w:t>, μέσω μοντέλων χρονοσειρών</w:t>
      </w:r>
      <w:r w:rsidRPr="003914D1">
        <w:rPr>
          <w:bCs/>
          <w:lang w:val="el-GR"/>
        </w:rPr>
        <w:t xml:space="preserve">, </w:t>
      </w:r>
      <w:r>
        <w:rPr>
          <w:bCs/>
          <w:lang w:val="el-GR"/>
        </w:rPr>
        <w:t>καθώς και η συνεχής επικαιροποίηση τους</w:t>
      </w:r>
      <w:r w:rsidRPr="00393192">
        <w:rPr>
          <w:bCs/>
          <w:lang w:val="el-GR"/>
        </w:rPr>
        <w:t xml:space="preserve"> είναι </w:t>
      </w:r>
      <w:r w:rsidR="00022EF3">
        <w:rPr>
          <w:bCs/>
          <w:lang w:val="el-GR"/>
        </w:rPr>
        <w:t>θεμελιώδους σημασίας</w:t>
      </w:r>
      <w:r w:rsidRPr="00393192">
        <w:rPr>
          <w:bCs/>
          <w:lang w:val="el-GR"/>
        </w:rPr>
        <w:t xml:space="preserve"> για τον ακριβή υπολογισμό των εφεδρειών στην αγορά εξισορρόπησης</w:t>
      </w:r>
      <w:r w:rsidRPr="001A3FC1">
        <w:rPr>
          <w:bCs/>
          <w:lang w:val="el-GR"/>
        </w:rPr>
        <w:t>.</w:t>
      </w:r>
      <w:r>
        <w:rPr>
          <w:bCs/>
          <w:lang w:val="el-GR"/>
        </w:rPr>
        <w:t xml:space="preserve"> </w:t>
      </w:r>
    </w:p>
    <w:p w14:paraId="66ECB6BB" w14:textId="77777777" w:rsidR="00022EF3" w:rsidRPr="00022EF3" w:rsidRDefault="0088305E" w:rsidP="00E35626">
      <w:pPr>
        <w:pStyle w:val="Default"/>
        <w:jc w:val="both"/>
        <w:rPr>
          <w:sz w:val="23"/>
          <w:szCs w:val="23"/>
          <w:lang w:val="el-GR"/>
        </w:rPr>
      </w:pPr>
      <w:r>
        <w:rPr>
          <w:rFonts w:ascii="Arial Black" w:hAnsi="Arial Black"/>
          <w:sz w:val="22"/>
          <w:szCs w:val="22"/>
          <w:lang w:val="el-GR"/>
        </w:rPr>
        <w:t>6</w:t>
      </w:r>
      <w:r w:rsidR="00D56D1A" w:rsidRPr="009A0A54">
        <w:rPr>
          <w:rFonts w:ascii="Arial Black" w:hAnsi="Arial Black"/>
          <w:sz w:val="22"/>
          <w:szCs w:val="22"/>
          <w:lang w:val="el-GR"/>
        </w:rPr>
        <w:t>.1.</w:t>
      </w:r>
      <w:r w:rsidR="00A30D11" w:rsidRPr="00A30D11">
        <w:rPr>
          <w:rFonts w:ascii="Arial Black" w:hAnsi="Arial Black"/>
          <w:sz w:val="22"/>
          <w:szCs w:val="22"/>
          <w:lang w:val="el-GR"/>
        </w:rPr>
        <w:t>1</w:t>
      </w:r>
      <w:r w:rsidR="00D56D1A">
        <w:rPr>
          <w:sz w:val="22"/>
          <w:szCs w:val="22"/>
          <w:lang w:val="el-GR"/>
        </w:rPr>
        <w:t xml:space="preserve"> </w:t>
      </w:r>
      <w:bookmarkStart w:id="18" w:name="_Hlk100753540"/>
      <w:r w:rsidR="00E35626" w:rsidRPr="00E35626">
        <w:rPr>
          <w:sz w:val="22"/>
          <w:szCs w:val="22"/>
          <w:lang w:val="el-GR"/>
        </w:rPr>
        <w:t>Ως συνολική ζήτηση</w:t>
      </w:r>
      <w:r w:rsidR="00802C33">
        <w:rPr>
          <w:sz w:val="22"/>
          <w:szCs w:val="22"/>
          <w:lang w:val="el-GR"/>
        </w:rPr>
        <w:t xml:space="preserve"> σε </w:t>
      </w:r>
      <w:r w:rsidR="00802C33">
        <w:rPr>
          <w:sz w:val="22"/>
          <w:szCs w:val="22"/>
        </w:rPr>
        <w:t>MWh</w:t>
      </w:r>
      <w:r w:rsidR="00E35626" w:rsidRPr="00E35626">
        <w:rPr>
          <w:sz w:val="22"/>
          <w:szCs w:val="22"/>
          <w:lang w:val="el-GR"/>
        </w:rPr>
        <w:t xml:space="preserve"> ορίζεται η απαίτηση σε επίπεδο παραγωγής για την κάλυψη των</w:t>
      </w:r>
      <w:r w:rsidR="00F91D9D">
        <w:rPr>
          <w:sz w:val="22"/>
          <w:szCs w:val="22"/>
          <w:lang w:val="el-GR"/>
        </w:rPr>
        <w:t xml:space="preserve"> </w:t>
      </w:r>
      <w:r w:rsidR="00E35626" w:rsidRPr="00E35626">
        <w:rPr>
          <w:sz w:val="22"/>
          <w:szCs w:val="22"/>
          <w:lang w:val="el-GR"/>
        </w:rPr>
        <w:t>φορτίων (εκτός της άντλησης) στην ηπειρωτική χώρα και στα διασυνδεδεμένα με αυτή</w:t>
      </w:r>
      <w:r w:rsidR="00F91D9D">
        <w:rPr>
          <w:sz w:val="22"/>
          <w:szCs w:val="22"/>
          <w:lang w:val="el-GR"/>
        </w:rPr>
        <w:t xml:space="preserve"> </w:t>
      </w:r>
      <w:r w:rsidR="00E35626" w:rsidRPr="00E35626">
        <w:rPr>
          <w:sz w:val="22"/>
          <w:szCs w:val="22"/>
          <w:lang w:val="el-GR"/>
        </w:rPr>
        <w:t>νησιά. Αναλυτικά στην εκτίμηση της συνολικής ζήτησης ηλεκτρικής ενέργειας</w:t>
      </w:r>
      <w:r w:rsidR="00F91D9D">
        <w:rPr>
          <w:sz w:val="22"/>
          <w:szCs w:val="22"/>
          <w:lang w:val="el-GR"/>
        </w:rPr>
        <w:t xml:space="preserve"> </w:t>
      </w:r>
      <w:r w:rsidR="00E35626" w:rsidRPr="00E35626">
        <w:rPr>
          <w:sz w:val="22"/>
          <w:szCs w:val="22"/>
          <w:lang w:val="el-GR"/>
        </w:rPr>
        <w:t>περιλαμβάνονται η ζήτηση στο Σύστημα, η εκτίμηση της ζήτησης που καλύπτεται από</w:t>
      </w:r>
      <w:r w:rsidR="00F91D9D">
        <w:rPr>
          <w:sz w:val="22"/>
          <w:szCs w:val="22"/>
          <w:lang w:val="el-GR"/>
        </w:rPr>
        <w:t xml:space="preserve"> </w:t>
      </w:r>
      <w:r w:rsidR="00E35626" w:rsidRPr="00E35626">
        <w:rPr>
          <w:sz w:val="22"/>
          <w:szCs w:val="22"/>
          <w:lang w:val="el-GR"/>
        </w:rPr>
        <w:t>μονάδες παραγωγής στο Δίκτυο. Η παραγωγή στο Δίκτυο προκύπτει από</w:t>
      </w:r>
      <w:r w:rsidR="00F91D9D">
        <w:rPr>
          <w:sz w:val="22"/>
          <w:szCs w:val="22"/>
          <w:lang w:val="el-GR"/>
        </w:rPr>
        <w:t xml:space="preserve"> </w:t>
      </w:r>
      <w:r w:rsidR="00E35626" w:rsidRPr="00E35626">
        <w:rPr>
          <w:sz w:val="22"/>
          <w:szCs w:val="22"/>
          <w:lang w:val="el-GR"/>
        </w:rPr>
        <w:t>πιστοποιημένες μετρήσεις για την Μέση Τάση και εκτιμήσεις για την Χαμηλή Τάση.</w:t>
      </w:r>
      <w:r w:rsidR="00E35626" w:rsidRPr="00E35626">
        <w:rPr>
          <w:sz w:val="22"/>
          <w:szCs w:val="22"/>
          <w:lang w:val="el-GR"/>
        </w:rPr>
        <w:cr/>
      </w:r>
    </w:p>
    <w:p w14:paraId="222B0BA3" w14:textId="77777777" w:rsidR="0091648A" w:rsidRDefault="0091648A" w:rsidP="00E35626">
      <w:pPr>
        <w:pStyle w:val="Default"/>
        <w:jc w:val="both"/>
        <w:rPr>
          <w:sz w:val="22"/>
          <w:szCs w:val="22"/>
          <w:lang w:val="el-GR"/>
        </w:rPr>
      </w:pPr>
      <w:r w:rsidRPr="00C10B1E">
        <w:rPr>
          <w:sz w:val="22"/>
          <w:szCs w:val="22"/>
          <w:lang w:val="el-GR"/>
        </w:rPr>
        <w:t>Ως ζήτηση στο Σύστημα</w:t>
      </w:r>
      <w:r w:rsidR="00EE669E" w:rsidRPr="00EE669E">
        <w:rPr>
          <w:sz w:val="22"/>
          <w:szCs w:val="22"/>
          <w:lang w:val="el-GR"/>
        </w:rPr>
        <w:t xml:space="preserve"> </w:t>
      </w:r>
      <w:r w:rsidR="00EE669E">
        <w:rPr>
          <w:sz w:val="22"/>
          <w:szCs w:val="22"/>
          <w:lang w:val="el-GR"/>
        </w:rPr>
        <w:t xml:space="preserve">σε </w:t>
      </w:r>
      <w:r w:rsidR="00EE669E">
        <w:rPr>
          <w:sz w:val="22"/>
          <w:szCs w:val="22"/>
        </w:rPr>
        <w:t>MWh</w:t>
      </w:r>
      <w:r w:rsidRPr="00C10B1E">
        <w:rPr>
          <w:sz w:val="22"/>
          <w:szCs w:val="22"/>
          <w:lang w:val="el-GR"/>
        </w:rPr>
        <w:t xml:space="preserve"> ορίζεται η απαίτηση σε επίπεδο παραγωγής για την κάλυψη των φορτίων του Συστήματος</w:t>
      </w:r>
      <w:r w:rsidR="00F91D9D">
        <w:rPr>
          <w:sz w:val="22"/>
          <w:szCs w:val="22"/>
          <w:lang w:val="el-GR"/>
        </w:rPr>
        <w:t xml:space="preserve"> (εκτός της άντλησης και της αποθήκευσης)</w:t>
      </w:r>
      <w:r w:rsidRPr="00C10B1E">
        <w:rPr>
          <w:sz w:val="22"/>
          <w:szCs w:val="22"/>
          <w:lang w:val="el-GR"/>
        </w:rPr>
        <w:t xml:space="preserve">, η οποία καλύπτεται από μονάδες του </w:t>
      </w:r>
      <w:r>
        <w:rPr>
          <w:sz w:val="22"/>
          <w:szCs w:val="22"/>
          <w:lang w:val="el-GR"/>
        </w:rPr>
        <w:t>ΕΣΜΗΕ</w:t>
      </w:r>
      <w:r w:rsidRPr="00C10B1E">
        <w:rPr>
          <w:sz w:val="22"/>
          <w:szCs w:val="22"/>
          <w:lang w:val="el-GR"/>
        </w:rPr>
        <w:t xml:space="preserve"> (συμβατικές και ΑΠΕ)</w:t>
      </w:r>
      <w:r w:rsidRPr="00256891">
        <w:rPr>
          <w:sz w:val="22"/>
          <w:szCs w:val="22"/>
          <w:lang w:val="el-GR"/>
        </w:rPr>
        <w:t xml:space="preserve"> </w:t>
      </w:r>
      <w:r>
        <w:rPr>
          <w:sz w:val="22"/>
          <w:szCs w:val="22"/>
          <w:lang w:val="el-GR"/>
        </w:rPr>
        <w:t>και τις διασυνδέσεις</w:t>
      </w:r>
      <w:r w:rsidRPr="00C10B1E">
        <w:rPr>
          <w:sz w:val="22"/>
          <w:szCs w:val="22"/>
          <w:lang w:val="el-GR"/>
        </w:rPr>
        <w:t>. Δεν περιλαμβάνεται η ζήτηση που καλύπτεται από μονάδες που εγχέουν στο Δίκτυο. Αναλυτικά περιλαμβάνονται</w:t>
      </w:r>
    </w:p>
    <w:p w14:paraId="686A2EAD" w14:textId="77777777" w:rsidR="0091648A" w:rsidRDefault="0091648A" w:rsidP="0091648A">
      <w:pPr>
        <w:pStyle w:val="Default"/>
        <w:numPr>
          <w:ilvl w:val="0"/>
          <w:numId w:val="23"/>
        </w:numPr>
        <w:jc w:val="both"/>
        <w:rPr>
          <w:sz w:val="22"/>
          <w:szCs w:val="22"/>
          <w:lang w:val="el-GR"/>
        </w:rPr>
      </w:pPr>
      <w:r w:rsidRPr="00C10B1E">
        <w:rPr>
          <w:sz w:val="22"/>
          <w:szCs w:val="22"/>
          <w:lang w:val="el-GR"/>
        </w:rPr>
        <w:t>η ζήτηση στους Υ/Σ ορίων Συστήματος-Δικτύου</w:t>
      </w:r>
      <w:r>
        <w:rPr>
          <w:sz w:val="22"/>
          <w:szCs w:val="22"/>
          <w:lang w:val="el-GR"/>
        </w:rPr>
        <w:t>,</w:t>
      </w:r>
    </w:p>
    <w:p w14:paraId="4C8D811B" w14:textId="77777777" w:rsidR="0091648A" w:rsidRDefault="0091648A" w:rsidP="0091648A">
      <w:pPr>
        <w:pStyle w:val="Default"/>
        <w:numPr>
          <w:ilvl w:val="0"/>
          <w:numId w:val="23"/>
        </w:numPr>
        <w:jc w:val="both"/>
        <w:rPr>
          <w:sz w:val="22"/>
          <w:szCs w:val="22"/>
          <w:lang w:val="el-GR"/>
        </w:rPr>
      </w:pPr>
      <w:r w:rsidRPr="00C10B1E">
        <w:rPr>
          <w:sz w:val="22"/>
          <w:szCs w:val="22"/>
          <w:lang w:val="el-GR"/>
        </w:rPr>
        <w:t xml:space="preserve">η ζήτηση από πελάτες Υψηλής Τάσης, </w:t>
      </w:r>
    </w:p>
    <w:p w14:paraId="6B9ED5FA" w14:textId="77777777" w:rsidR="0091648A" w:rsidRDefault="0091648A" w:rsidP="0091648A">
      <w:pPr>
        <w:pStyle w:val="Default"/>
        <w:numPr>
          <w:ilvl w:val="0"/>
          <w:numId w:val="23"/>
        </w:numPr>
        <w:jc w:val="both"/>
        <w:rPr>
          <w:sz w:val="22"/>
          <w:szCs w:val="22"/>
          <w:lang w:val="el-GR"/>
        </w:rPr>
      </w:pPr>
      <w:r w:rsidRPr="00C10B1E">
        <w:rPr>
          <w:sz w:val="22"/>
          <w:szCs w:val="22"/>
          <w:lang w:val="el-GR"/>
        </w:rPr>
        <w:t xml:space="preserve">ορυχεία, </w:t>
      </w:r>
    </w:p>
    <w:p w14:paraId="4783CA9C" w14:textId="77777777" w:rsidR="0091648A" w:rsidRPr="00187068" w:rsidRDefault="0091648A" w:rsidP="0091648A">
      <w:pPr>
        <w:pStyle w:val="Default"/>
        <w:numPr>
          <w:ilvl w:val="0"/>
          <w:numId w:val="23"/>
        </w:numPr>
        <w:jc w:val="both"/>
        <w:rPr>
          <w:sz w:val="22"/>
          <w:szCs w:val="22"/>
          <w:lang w:val="el-GR"/>
        </w:rPr>
      </w:pPr>
      <w:r w:rsidRPr="00C10B1E">
        <w:rPr>
          <w:sz w:val="22"/>
          <w:szCs w:val="22"/>
          <w:lang w:val="el-GR"/>
        </w:rPr>
        <w:t xml:space="preserve">ιδιοκατανάλωση παραγωγής, </w:t>
      </w:r>
      <w:r w:rsidRPr="00187068">
        <w:rPr>
          <w:sz w:val="22"/>
          <w:szCs w:val="22"/>
          <w:lang w:val="el-GR"/>
        </w:rPr>
        <w:t xml:space="preserve"> </w:t>
      </w:r>
    </w:p>
    <w:p w14:paraId="2600A701" w14:textId="77777777" w:rsidR="0091648A" w:rsidRDefault="0091648A" w:rsidP="0091648A">
      <w:pPr>
        <w:pStyle w:val="Default"/>
        <w:numPr>
          <w:ilvl w:val="0"/>
          <w:numId w:val="23"/>
        </w:numPr>
        <w:jc w:val="both"/>
        <w:rPr>
          <w:sz w:val="22"/>
          <w:szCs w:val="22"/>
          <w:lang w:val="el-GR"/>
        </w:rPr>
      </w:pPr>
      <w:r w:rsidRPr="00C10B1E">
        <w:rPr>
          <w:sz w:val="22"/>
          <w:szCs w:val="22"/>
          <w:lang w:val="el-GR"/>
        </w:rPr>
        <w:t>οι απώλειες του Συστήματος</w:t>
      </w:r>
      <w:r>
        <w:rPr>
          <w:sz w:val="22"/>
          <w:szCs w:val="22"/>
          <w:lang w:val="el-GR"/>
        </w:rPr>
        <w:t>,</w:t>
      </w:r>
      <w:r w:rsidRPr="00C10B1E">
        <w:rPr>
          <w:sz w:val="22"/>
          <w:szCs w:val="22"/>
          <w:lang w:val="el-GR"/>
        </w:rPr>
        <w:t xml:space="preserve"> </w:t>
      </w:r>
    </w:p>
    <w:p w14:paraId="02138D29" w14:textId="77777777" w:rsidR="0091648A" w:rsidRPr="00022EF3" w:rsidRDefault="0091648A" w:rsidP="0091648A">
      <w:pPr>
        <w:pStyle w:val="Default"/>
        <w:numPr>
          <w:ilvl w:val="0"/>
          <w:numId w:val="23"/>
        </w:numPr>
        <w:jc w:val="both"/>
        <w:rPr>
          <w:sz w:val="22"/>
          <w:szCs w:val="22"/>
          <w:lang w:val="el-GR"/>
        </w:rPr>
      </w:pPr>
      <w:r w:rsidRPr="003B7B6F">
        <w:rPr>
          <w:sz w:val="22"/>
          <w:szCs w:val="22"/>
          <w:lang w:val="el-GR"/>
        </w:rPr>
        <w:t>και η μετρούμενη απορρόφηση ενέργεια από τη διασύνδεση της Κρήτης με το ΕΣΜΗΕ</w:t>
      </w:r>
      <w:r>
        <w:rPr>
          <w:sz w:val="22"/>
          <w:szCs w:val="22"/>
          <w:lang w:val="el-GR"/>
        </w:rPr>
        <w:t>.</w:t>
      </w:r>
    </w:p>
    <w:bookmarkEnd w:id="18"/>
    <w:p w14:paraId="431B0F6C" w14:textId="77777777" w:rsidR="00022EF3" w:rsidRDefault="00022EF3" w:rsidP="00022EF3">
      <w:pPr>
        <w:pStyle w:val="Default"/>
        <w:jc w:val="both"/>
        <w:rPr>
          <w:sz w:val="22"/>
          <w:szCs w:val="22"/>
          <w:lang w:val="el-GR"/>
        </w:rPr>
      </w:pPr>
    </w:p>
    <w:p w14:paraId="002B7E8D" w14:textId="071064D4" w:rsidR="008E0852" w:rsidRPr="000B1D3F" w:rsidRDefault="008E0852" w:rsidP="00022EF3">
      <w:pPr>
        <w:pStyle w:val="Default"/>
        <w:jc w:val="both"/>
        <w:rPr>
          <w:sz w:val="22"/>
          <w:szCs w:val="22"/>
          <w:lang w:val="el-GR"/>
        </w:rPr>
      </w:pPr>
      <w:r>
        <w:rPr>
          <w:sz w:val="22"/>
          <w:szCs w:val="22"/>
          <w:lang w:val="el-GR"/>
        </w:rPr>
        <w:t xml:space="preserve">Το φορτίο Συστήματος σε </w:t>
      </w:r>
      <w:r>
        <w:rPr>
          <w:sz w:val="22"/>
          <w:szCs w:val="22"/>
        </w:rPr>
        <w:t>MW</w:t>
      </w:r>
      <w:r>
        <w:rPr>
          <w:sz w:val="22"/>
          <w:szCs w:val="22"/>
          <w:lang w:val="el-GR"/>
        </w:rPr>
        <w:t xml:space="preserve"> περιλαμβάνει </w:t>
      </w:r>
      <w:r w:rsidR="00222F38">
        <w:rPr>
          <w:sz w:val="22"/>
          <w:szCs w:val="22"/>
          <w:lang w:val="el-GR"/>
        </w:rPr>
        <w:t>εκτός των άλλων</w:t>
      </w:r>
      <w:r>
        <w:rPr>
          <w:sz w:val="22"/>
          <w:szCs w:val="22"/>
          <w:lang w:val="el-GR"/>
        </w:rPr>
        <w:t xml:space="preserve"> την άντληση και την αποθήκευση ηλεκτρικής ενέργειας.</w:t>
      </w:r>
    </w:p>
    <w:p w14:paraId="1FA2A950" w14:textId="77777777" w:rsidR="00802C33" w:rsidRPr="00802C33" w:rsidRDefault="00802C33" w:rsidP="00802C33">
      <w:pPr>
        <w:pStyle w:val="Default"/>
        <w:jc w:val="both"/>
        <w:rPr>
          <w:rFonts w:ascii="Arial Black" w:hAnsi="Arial Black"/>
          <w:bCs/>
          <w:lang w:val="el-GR"/>
        </w:rPr>
      </w:pPr>
    </w:p>
    <w:p w14:paraId="3E461D7C" w14:textId="77777777" w:rsidR="00802C33" w:rsidRPr="00802C33" w:rsidRDefault="0088305E" w:rsidP="00802C33">
      <w:pPr>
        <w:pStyle w:val="Default"/>
        <w:jc w:val="both"/>
        <w:rPr>
          <w:sz w:val="22"/>
          <w:szCs w:val="22"/>
          <w:lang w:val="el-GR"/>
        </w:rPr>
      </w:pPr>
      <w:r>
        <w:rPr>
          <w:rFonts w:ascii="Arial Black" w:hAnsi="Arial Black"/>
          <w:bCs/>
          <w:lang w:val="el-GR"/>
        </w:rPr>
        <w:t>6</w:t>
      </w:r>
      <w:r w:rsidR="00D56D1A" w:rsidRPr="009A0A54">
        <w:rPr>
          <w:rFonts w:ascii="Arial Black" w:hAnsi="Arial Black"/>
          <w:bCs/>
          <w:lang w:val="el-GR"/>
        </w:rPr>
        <w:t>.1.</w:t>
      </w:r>
      <w:r w:rsidR="00022EF3">
        <w:rPr>
          <w:rFonts w:ascii="Arial Black" w:hAnsi="Arial Black"/>
          <w:bCs/>
          <w:lang w:val="el-GR"/>
        </w:rPr>
        <w:t>2</w:t>
      </w:r>
      <w:r w:rsidR="00D56D1A">
        <w:rPr>
          <w:bCs/>
          <w:lang w:val="el-GR"/>
        </w:rPr>
        <w:t xml:space="preserve"> </w:t>
      </w:r>
      <w:bookmarkStart w:id="19" w:name="_Hlk100753599"/>
      <w:r w:rsidR="00802C33" w:rsidRPr="00802C33">
        <w:rPr>
          <w:bCs/>
          <w:sz w:val="22"/>
          <w:szCs w:val="22"/>
          <w:lang w:val="el-GR"/>
        </w:rPr>
        <w:t>Ως μέτρο της ακρίβειας της μεθόδου πρόβλεψης της ζήτησης στο Σύστημα και παραγωγής των ΑΠΕ Συστήματος έναντι των πραγματικών τιμών θα υπολογίζονται οι ακόλουθοι δείκτες σφάλματος πρόβλεψης</w:t>
      </w:r>
      <w:r w:rsidR="00802C33" w:rsidRPr="00802C33">
        <w:rPr>
          <w:sz w:val="22"/>
          <w:szCs w:val="22"/>
          <w:lang w:val="el-GR"/>
        </w:rPr>
        <w:t>:</w:t>
      </w:r>
    </w:p>
    <w:bookmarkEnd w:id="19"/>
    <w:p w14:paraId="22E5E17C" w14:textId="77777777" w:rsidR="00802C33" w:rsidRPr="00802C33" w:rsidRDefault="00802C33" w:rsidP="00802C33">
      <w:pPr>
        <w:pStyle w:val="Default"/>
        <w:jc w:val="both"/>
        <w:rPr>
          <w:sz w:val="22"/>
          <w:szCs w:val="22"/>
          <w:lang w:val="el-GR"/>
        </w:rPr>
      </w:pPr>
    </w:p>
    <w:p w14:paraId="680817CE" w14:textId="77777777" w:rsidR="00802C33" w:rsidRPr="00D05969" w:rsidRDefault="00802C33" w:rsidP="00802C33">
      <w:pPr>
        <w:pStyle w:val="Basic"/>
        <w:numPr>
          <w:ilvl w:val="0"/>
          <w:numId w:val="20"/>
        </w:numPr>
        <w:rPr>
          <w:rFonts w:asciiTheme="minorHAnsi" w:hAnsiTheme="minorHAnsi" w:cstheme="minorHAnsi"/>
          <w:b/>
          <w:i/>
          <w:lang w:val="en-US"/>
        </w:rPr>
      </w:pPr>
      <w:r w:rsidRPr="00D05969">
        <w:rPr>
          <w:rFonts w:asciiTheme="minorHAnsi" w:hAnsiTheme="minorHAnsi" w:cstheme="minorHAnsi"/>
          <w:b/>
          <w:i/>
        </w:rPr>
        <w:t>Μέσο</w:t>
      </w:r>
      <w:r w:rsidRPr="00D05969">
        <w:rPr>
          <w:rFonts w:asciiTheme="minorHAnsi" w:hAnsiTheme="minorHAnsi" w:cstheme="minorHAnsi"/>
          <w:b/>
          <w:i/>
          <w:lang w:val="en-US"/>
        </w:rPr>
        <w:t xml:space="preserve"> </w:t>
      </w:r>
      <w:r w:rsidRPr="00D05969">
        <w:rPr>
          <w:rFonts w:asciiTheme="minorHAnsi" w:hAnsiTheme="minorHAnsi" w:cstheme="minorHAnsi"/>
          <w:b/>
          <w:i/>
        </w:rPr>
        <w:t>Απόλυτο</w:t>
      </w:r>
      <w:r w:rsidRPr="00D05969">
        <w:rPr>
          <w:rFonts w:asciiTheme="minorHAnsi" w:hAnsiTheme="minorHAnsi" w:cstheme="minorHAnsi"/>
          <w:b/>
          <w:i/>
          <w:lang w:val="en-US"/>
        </w:rPr>
        <w:t xml:space="preserve"> </w:t>
      </w:r>
      <w:r w:rsidRPr="00D05969">
        <w:rPr>
          <w:rFonts w:asciiTheme="minorHAnsi" w:hAnsiTheme="minorHAnsi" w:cstheme="minorHAnsi"/>
          <w:b/>
          <w:i/>
        </w:rPr>
        <w:t>Σφάλμα</w:t>
      </w:r>
      <w:r>
        <w:rPr>
          <w:rFonts w:asciiTheme="minorHAnsi" w:hAnsiTheme="minorHAnsi" w:cstheme="minorHAnsi"/>
          <w:b/>
          <w:i/>
          <w:lang w:val="en-US"/>
        </w:rPr>
        <w:t>: Mean Absolute E</w:t>
      </w:r>
      <w:r w:rsidRPr="00D05969">
        <w:rPr>
          <w:rFonts w:asciiTheme="minorHAnsi" w:hAnsiTheme="minorHAnsi" w:cstheme="minorHAnsi"/>
          <w:b/>
          <w:i/>
          <w:lang w:val="en-US"/>
        </w:rPr>
        <w:t xml:space="preserve">rror (MAE) </w:t>
      </w:r>
    </w:p>
    <w:p w14:paraId="198617CC" w14:textId="77777777" w:rsidR="00802C33" w:rsidRDefault="00802C33" w:rsidP="00802C33">
      <w:pPr>
        <w:pStyle w:val="Basic"/>
        <w:rPr>
          <w:rFonts w:asciiTheme="minorHAnsi" w:hAnsiTheme="minorHAnsi" w:cstheme="minorHAnsi"/>
          <w:bCs/>
          <w:lang w:val="en-US"/>
        </w:rPr>
      </w:pPr>
      <w:r w:rsidRPr="00D05969">
        <w:rPr>
          <w:rFonts w:asciiTheme="minorHAnsi" w:hAnsiTheme="minorHAnsi" w:cstheme="minorHAnsi"/>
          <w:bCs/>
        </w:rPr>
        <w:t xml:space="preserve">Το μέσο απόλυτο σφάλμα (MAE) είναι ένας δείκτης που χρησιμοποιείται για τη μέτρηση του αριθμητικού μέσου όρου των αποκλίσεων μεταξύ προβλέψεων και πραγματικών τιμών. Η μέση απόλυτη απόκλιση </w:t>
      </w:r>
      <w:r w:rsidRPr="00D05969">
        <w:rPr>
          <w:rFonts w:asciiTheme="minorHAnsi" w:hAnsiTheme="minorHAnsi" w:cstheme="minorHAnsi"/>
          <w:bCs/>
        </w:rPr>
        <w:lastRenderedPageBreak/>
        <w:t>ορίζεται ως το άθροισμα των απόλυτων τιμών του σφάλματος της πρόβλεψης διαιρούμενο με τον αριθμό n που ορίζει το μέγεθος του δείγματος. Όσο μεγαλύτερη είναι η τιμή του δείκτη τόσο μικρότερη είναι ακρίβεια της μεθόδου. O Δείκτης υπολογίζεται ως εξής:</w:t>
      </w:r>
    </w:p>
    <w:p w14:paraId="484BBE68" w14:textId="77777777" w:rsidR="00802C33" w:rsidRPr="008F2A71" w:rsidRDefault="00802C33" w:rsidP="00802C33">
      <w:pPr>
        <w:pStyle w:val="Basic"/>
        <w:rPr>
          <w:rFonts w:asciiTheme="minorHAnsi" w:hAnsiTheme="minorHAnsi" w:cstheme="minorHAnsi"/>
          <w:bCs/>
          <w:lang w:val="en-US"/>
        </w:rPr>
      </w:pPr>
      <m:oMathPara>
        <m:oMath>
          <m:r>
            <w:rPr>
              <w:rFonts w:ascii="Cambria Math" w:hAnsi="Cambria Math" w:cstheme="minorHAnsi"/>
              <w:lang w:val="en-US"/>
            </w:rPr>
            <m:t xml:space="preserve">MAE= </m:t>
          </m:r>
          <m:f>
            <m:fPr>
              <m:ctrlPr>
                <w:rPr>
                  <w:rFonts w:ascii="Cambria Math" w:hAnsi="Cambria Math" w:cstheme="minorHAnsi"/>
                  <w:bCs/>
                  <w:i/>
                  <w:lang w:val="en-US"/>
                </w:rPr>
              </m:ctrlPr>
            </m:fPr>
            <m:num>
              <m:nary>
                <m:naryPr>
                  <m:chr m:val="∑"/>
                  <m:limLoc m:val="undOvr"/>
                  <m:ctrlPr>
                    <w:rPr>
                      <w:rFonts w:ascii="Cambria Math" w:hAnsi="Cambria Math" w:cstheme="minorHAnsi"/>
                      <w:bCs/>
                      <w:i/>
                      <w:lang w:val="en-US"/>
                    </w:rPr>
                  </m:ctrlPr>
                </m:naryPr>
                <m:sub>
                  <m:r>
                    <w:rPr>
                      <w:rFonts w:ascii="Cambria Math" w:hAnsi="Cambria Math" w:cstheme="minorHAnsi"/>
                      <w:lang w:val="en-US"/>
                    </w:rPr>
                    <m:t>i=1</m:t>
                  </m:r>
                </m:sub>
                <m:sup>
                  <m:r>
                    <w:rPr>
                      <w:rFonts w:ascii="Cambria Math" w:hAnsi="Cambria Math" w:cstheme="minorHAnsi"/>
                      <w:lang w:val="en-US"/>
                    </w:rPr>
                    <m:t>n</m:t>
                  </m:r>
                </m:sup>
                <m:e>
                  <m:d>
                    <m:dPr>
                      <m:begChr m:val="|"/>
                      <m:endChr m:val="|"/>
                      <m:ctrlPr>
                        <w:rPr>
                          <w:rFonts w:ascii="Cambria Math" w:hAnsi="Cambria Math" w:cstheme="minorHAnsi"/>
                          <w:bCs/>
                          <w:i/>
                          <w:lang w:val="en-US"/>
                        </w:rPr>
                      </m:ctrlPr>
                    </m:dPr>
                    <m:e>
                      <m:sSub>
                        <m:sSubPr>
                          <m:ctrlPr>
                            <w:rPr>
                              <w:rFonts w:ascii="Cambria Math" w:hAnsi="Cambria Math" w:cstheme="minorHAnsi"/>
                              <w:bCs/>
                              <w:i/>
                              <w:lang w:val="en-US"/>
                            </w:rPr>
                          </m:ctrlPr>
                        </m:sSubPr>
                        <m:e>
                          <m:r>
                            <w:rPr>
                              <w:rFonts w:ascii="Cambria Math" w:hAnsi="Cambria Math" w:cstheme="minorHAnsi"/>
                              <w:lang w:val="en-US"/>
                            </w:rPr>
                            <m:t>y</m:t>
                          </m:r>
                        </m:e>
                        <m:sub>
                          <m:r>
                            <w:rPr>
                              <w:rFonts w:ascii="Cambria Math" w:hAnsi="Cambria Math" w:cstheme="minorHAnsi"/>
                              <w:lang w:val="en-US"/>
                            </w:rPr>
                            <m:t>i</m:t>
                          </m:r>
                        </m:sub>
                      </m:sSub>
                      <m:r>
                        <w:rPr>
                          <w:rFonts w:ascii="Cambria Math" w:hAnsi="Cambria Math" w:cstheme="minorHAnsi"/>
                          <w:lang w:val="en-US"/>
                        </w:rPr>
                        <m:t>-</m:t>
                      </m:r>
                      <m:sSub>
                        <m:sSubPr>
                          <m:ctrlPr>
                            <w:rPr>
                              <w:rFonts w:ascii="Cambria Math" w:hAnsi="Cambria Math" w:cstheme="minorHAnsi"/>
                              <w:bCs/>
                              <w:i/>
                              <w:lang w:val="en-US"/>
                            </w:rPr>
                          </m:ctrlPr>
                        </m:sSubPr>
                        <m:e>
                          <m:r>
                            <w:rPr>
                              <w:rFonts w:ascii="Cambria Math" w:hAnsi="Cambria Math" w:cstheme="minorHAnsi"/>
                              <w:lang w:val="en-US"/>
                            </w:rPr>
                            <m:t>x</m:t>
                          </m:r>
                        </m:e>
                        <m:sub>
                          <m:r>
                            <w:rPr>
                              <w:rFonts w:ascii="Cambria Math" w:hAnsi="Cambria Math" w:cstheme="minorHAnsi"/>
                              <w:lang w:val="en-US"/>
                            </w:rPr>
                            <m:t>i</m:t>
                          </m:r>
                        </m:sub>
                      </m:sSub>
                    </m:e>
                  </m:d>
                </m:e>
              </m:nary>
            </m:num>
            <m:den>
              <m:r>
                <w:rPr>
                  <w:rFonts w:ascii="Cambria Math" w:hAnsi="Cambria Math" w:cstheme="minorHAnsi"/>
                  <w:lang w:val="en-US"/>
                </w:rPr>
                <m:t>n</m:t>
              </m:r>
            </m:den>
          </m:f>
        </m:oMath>
      </m:oMathPara>
    </w:p>
    <w:p w14:paraId="1CD478B2" w14:textId="77777777" w:rsidR="00802C33" w:rsidRPr="00D05969" w:rsidRDefault="00802C33" w:rsidP="00802C33">
      <w:pPr>
        <w:pStyle w:val="Basic"/>
        <w:rPr>
          <w:rFonts w:asciiTheme="minorHAnsi" w:hAnsiTheme="minorHAnsi" w:cstheme="minorHAnsi"/>
        </w:rPr>
      </w:pPr>
      <w:bookmarkStart w:id="20" w:name="OLE_LINK3"/>
      <w:bookmarkStart w:id="21" w:name="OLE_LINK4"/>
      <w:r w:rsidRPr="00D05969">
        <w:rPr>
          <w:rFonts w:asciiTheme="minorHAnsi" w:hAnsiTheme="minorHAnsi" w:cstheme="minorHAnsi"/>
        </w:rPr>
        <w:t>Όπου:</w:t>
      </w:r>
    </w:p>
    <w:p w14:paraId="1E270122" w14:textId="77777777" w:rsidR="00802C33" w:rsidRPr="00D05969" w:rsidRDefault="00802C33" w:rsidP="00802C33">
      <w:pPr>
        <w:pStyle w:val="Basic"/>
        <w:numPr>
          <w:ilvl w:val="0"/>
          <w:numId w:val="40"/>
        </w:numPr>
        <w:rPr>
          <w:rFonts w:asciiTheme="minorHAnsi" w:hAnsiTheme="minorHAnsi" w:cstheme="minorHAnsi"/>
          <w:i/>
        </w:rPr>
      </w:pPr>
      <w:r w:rsidRPr="00D05969">
        <w:rPr>
          <w:rFonts w:asciiTheme="minorHAnsi" w:hAnsiTheme="minorHAnsi" w:cstheme="minorHAnsi"/>
          <w:i/>
          <w:lang w:val="en-US"/>
        </w:rPr>
        <w:t>x</w:t>
      </w:r>
      <w:r w:rsidRPr="00D05969">
        <w:rPr>
          <w:rFonts w:asciiTheme="minorHAnsi" w:hAnsiTheme="minorHAnsi" w:cstheme="minorHAnsi"/>
          <w:i/>
          <w:vertAlign w:val="subscript"/>
          <w:lang w:val="en-US"/>
        </w:rPr>
        <w:t>i</w:t>
      </w:r>
      <w:r w:rsidRPr="00D05969">
        <w:rPr>
          <w:rFonts w:asciiTheme="minorHAnsi" w:hAnsiTheme="minorHAnsi" w:cstheme="minorHAnsi"/>
          <w:i/>
        </w:rPr>
        <w:t>: πραγματική τιμή</w:t>
      </w:r>
    </w:p>
    <w:p w14:paraId="59633F3B" w14:textId="77777777" w:rsidR="00802C33" w:rsidRPr="00D05969" w:rsidRDefault="00802C33" w:rsidP="00802C33">
      <w:pPr>
        <w:pStyle w:val="Basic"/>
        <w:numPr>
          <w:ilvl w:val="0"/>
          <w:numId w:val="40"/>
        </w:numPr>
        <w:rPr>
          <w:rFonts w:asciiTheme="minorHAnsi" w:hAnsiTheme="minorHAnsi" w:cstheme="minorHAnsi"/>
          <w:i/>
        </w:rPr>
      </w:pPr>
      <w:r w:rsidRPr="00D05969">
        <w:rPr>
          <w:rFonts w:asciiTheme="minorHAnsi" w:hAnsiTheme="minorHAnsi" w:cstheme="minorHAnsi"/>
          <w:i/>
        </w:rPr>
        <w:t>y</w:t>
      </w:r>
      <w:r w:rsidRPr="00D05969">
        <w:rPr>
          <w:rFonts w:asciiTheme="minorHAnsi" w:hAnsiTheme="minorHAnsi" w:cstheme="minorHAnsi"/>
          <w:i/>
          <w:vertAlign w:val="subscript"/>
          <w:lang w:val="en-US"/>
        </w:rPr>
        <w:t>i</w:t>
      </w:r>
      <w:r w:rsidRPr="00D05969">
        <w:rPr>
          <w:rFonts w:asciiTheme="minorHAnsi" w:hAnsiTheme="minorHAnsi" w:cstheme="minorHAnsi"/>
          <w:i/>
        </w:rPr>
        <w:t>:τιμή πρόβλεψης</w:t>
      </w:r>
    </w:p>
    <w:p w14:paraId="4F7D9805" w14:textId="77777777" w:rsidR="00802C33" w:rsidRPr="00D05969" w:rsidRDefault="00802C33" w:rsidP="00802C33">
      <w:pPr>
        <w:pStyle w:val="Basic"/>
        <w:numPr>
          <w:ilvl w:val="0"/>
          <w:numId w:val="40"/>
        </w:numPr>
        <w:rPr>
          <w:rFonts w:asciiTheme="minorHAnsi" w:hAnsiTheme="minorHAnsi" w:cstheme="minorHAnsi"/>
          <w:i/>
        </w:rPr>
      </w:pPr>
      <w:r w:rsidRPr="00D05969">
        <w:rPr>
          <w:rFonts w:asciiTheme="minorHAnsi" w:hAnsiTheme="minorHAnsi" w:cstheme="minorHAnsi"/>
          <w:i/>
          <w:lang w:val="en-US"/>
        </w:rPr>
        <w:t xml:space="preserve">n: </w:t>
      </w:r>
      <w:r w:rsidRPr="00D05969">
        <w:rPr>
          <w:rFonts w:asciiTheme="minorHAnsi" w:hAnsiTheme="minorHAnsi" w:cstheme="minorHAnsi"/>
          <w:i/>
        </w:rPr>
        <w:t>μέγεθος δείγματος</w:t>
      </w:r>
    </w:p>
    <w:bookmarkEnd w:id="20"/>
    <w:bookmarkEnd w:id="21"/>
    <w:p w14:paraId="203DCCA3" w14:textId="77777777" w:rsidR="00802C33" w:rsidRPr="00D05969" w:rsidRDefault="00802C33" w:rsidP="00802C33">
      <w:pPr>
        <w:pStyle w:val="Basic"/>
        <w:rPr>
          <w:rFonts w:asciiTheme="minorHAnsi" w:hAnsiTheme="minorHAnsi" w:cstheme="minorHAnsi"/>
        </w:rPr>
      </w:pPr>
    </w:p>
    <w:p w14:paraId="7DE0545D" w14:textId="77777777" w:rsidR="00802C33" w:rsidRPr="00D05969" w:rsidRDefault="00802C33" w:rsidP="00802C33">
      <w:pPr>
        <w:pStyle w:val="Basic"/>
        <w:numPr>
          <w:ilvl w:val="0"/>
          <w:numId w:val="20"/>
        </w:numPr>
        <w:rPr>
          <w:rFonts w:asciiTheme="minorHAnsi" w:hAnsiTheme="minorHAnsi" w:cstheme="minorHAnsi"/>
          <w:b/>
          <w:i/>
          <w:lang w:val="en-US"/>
        </w:rPr>
      </w:pPr>
      <w:r w:rsidRPr="00D05969">
        <w:rPr>
          <w:rFonts w:asciiTheme="minorHAnsi" w:hAnsiTheme="minorHAnsi" w:cstheme="minorHAnsi"/>
          <w:b/>
          <w:i/>
        </w:rPr>
        <w:t>Μέσο</w:t>
      </w:r>
      <w:r w:rsidRPr="00D05969">
        <w:rPr>
          <w:rFonts w:asciiTheme="minorHAnsi" w:hAnsiTheme="minorHAnsi" w:cstheme="minorHAnsi"/>
          <w:b/>
          <w:i/>
          <w:lang w:val="en-US"/>
        </w:rPr>
        <w:t xml:space="preserve"> </w:t>
      </w:r>
      <w:r w:rsidRPr="00D05969">
        <w:rPr>
          <w:rFonts w:asciiTheme="minorHAnsi" w:hAnsiTheme="minorHAnsi" w:cstheme="minorHAnsi"/>
          <w:b/>
          <w:i/>
        </w:rPr>
        <w:t>απόλυτο</w:t>
      </w:r>
      <w:r w:rsidRPr="00D05969">
        <w:rPr>
          <w:rFonts w:asciiTheme="minorHAnsi" w:hAnsiTheme="minorHAnsi" w:cstheme="minorHAnsi"/>
          <w:b/>
          <w:i/>
          <w:lang w:val="en-US"/>
        </w:rPr>
        <w:t xml:space="preserve"> </w:t>
      </w:r>
      <w:r w:rsidRPr="00D05969">
        <w:rPr>
          <w:rFonts w:asciiTheme="minorHAnsi" w:hAnsiTheme="minorHAnsi" w:cstheme="minorHAnsi"/>
          <w:b/>
          <w:i/>
        </w:rPr>
        <w:t>ποσοστιαίο</w:t>
      </w:r>
      <w:r w:rsidRPr="00D05969">
        <w:rPr>
          <w:rFonts w:asciiTheme="minorHAnsi" w:hAnsiTheme="minorHAnsi" w:cstheme="minorHAnsi"/>
          <w:b/>
          <w:i/>
          <w:lang w:val="en-US"/>
        </w:rPr>
        <w:t xml:space="preserve"> </w:t>
      </w:r>
      <w:r w:rsidRPr="00D05969">
        <w:rPr>
          <w:rFonts w:asciiTheme="minorHAnsi" w:hAnsiTheme="minorHAnsi" w:cstheme="minorHAnsi"/>
          <w:b/>
          <w:i/>
        </w:rPr>
        <w:t>σφάλμα</w:t>
      </w:r>
      <w:r w:rsidRPr="00D05969">
        <w:rPr>
          <w:rFonts w:asciiTheme="minorHAnsi" w:hAnsiTheme="minorHAnsi" w:cstheme="minorHAnsi"/>
          <w:b/>
          <w:i/>
          <w:lang w:val="en-US"/>
        </w:rPr>
        <w:t>: Mean Absolute Percentage Error (MAPE)</w:t>
      </w:r>
    </w:p>
    <w:p w14:paraId="22117B1C" w14:textId="77777777" w:rsidR="00802C33" w:rsidRDefault="00802C33" w:rsidP="00802C33">
      <w:pPr>
        <w:jc w:val="both"/>
        <w:rPr>
          <w:rFonts w:cstheme="minorHAnsi"/>
          <w:bCs/>
          <w:lang w:eastAsia="ar-SA"/>
        </w:rPr>
      </w:pPr>
      <w:r w:rsidRPr="00D05969">
        <w:rPr>
          <w:rFonts w:cstheme="minorHAnsi"/>
          <w:bCs/>
          <w:lang w:val="el-GR" w:eastAsia="ar-SA"/>
        </w:rPr>
        <w:t>Το μέσο απόλυτο ποσοστιαίο σφάλμα εξετάζει τη συμπεριφορά της απόλυτης τιμής του σφάλματος της πρόβλεψης σε σχέση με την πραγματική τιμή της χρονοσειράς. Το MAPE ορίζεται ως το άθροισμα των απόλυτων τιμών των σφαλμάτων της πρόβλεψης προς τις αντίστοιχες πραγματικές τιμές της χρονοσειράς διαιρούμενο με τον αριθμό των χρονικών περιόδων n, στις οποίες έγιναν προβλέψεις. Το ΜΑΡΕ μετρά το μέγεθος του σφάλματος σε ποσοστιαίες μονάδες. O</w:t>
      </w:r>
      <w:r w:rsidRPr="00D05969">
        <w:rPr>
          <w:rFonts w:cstheme="minorHAnsi"/>
          <w:bCs/>
          <w:lang w:eastAsia="ar-SA"/>
        </w:rPr>
        <w:t xml:space="preserve"> Δείκτης υπολογίζεται ως εξής:</w:t>
      </w:r>
    </w:p>
    <w:p w14:paraId="13AC9673" w14:textId="77777777" w:rsidR="00802C33" w:rsidRPr="008F2A71" w:rsidRDefault="00802C33" w:rsidP="00802C33">
      <w:pPr>
        <w:jc w:val="both"/>
        <w:rPr>
          <w:rFonts w:cstheme="minorHAnsi"/>
          <w:bCs/>
          <w:lang w:eastAsia="ar-SA"/>
        </w:rPr>
      </w:pPr>
      <m:oMathPara>
        <m:oMath>
          <m:r>
            <w:rPr>
              <w:rFonts w:ascii="Cambria Math" w:hAnsi="Cambria Math" w:cstheme="minorHAnsi"/>
            </w:rPr>
            <m:t xml:space="preserve">MAPE=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n</m:t>
              </m:r>
            </m:den>
          </m:f>
          <m:nary>
            <m:naryPr>
              <m:chr m:val="∑"/>
              <m:limLoc m:val="undOvr"/>
              <m:ctrlPr>
                <w:rPr>
                  <w:rFonts w:ascii="Cambria Math" w:eastAsia="Times New Roman" w:hAnsi="Cambria Math" w:cstheme="minorHAnsi"/>
                  <w:bCs/>
                  <w:i/>
                  <w:lang w:eastAsia="ar-SA"/>
                </w:rPr>
              </m:ctrlPr>
            </m:naryPr>
            <m:sub>
              <m:r>
                <w:rPr>
                  <w:rFonts w:ascii="Cambria Math" w:eastAsia="Times New Roman" w:hAnsi="Cambria Math" w:cstheme="minorHAnsi"/>
                  <w:lang w:eastAsia="ar-SA"/>
                </w:rPr>
                <m:t>t=1</m:t>
              </m:r>
            </m:sub>
            <m:sup>
              <m:r>
                <w:rPr>
                  <w:rFonts w:ascii="Cambria Math" w:eastAsia="Times New Roman" w:hAnsi="Cambria Math" w:cstheme="minorHAnsi"/>
                  <w:lang w:eastAsia="ar-SA"/>
                </w:rPr>
                <m:t>n</m:t>
              </m:r>
            </m:sup>
            <m:e>
              <m:d>
                <m:dPr>
                  <m:begChr m:val="|"/>
                  <m:endChr m:val="|"/>
                  <m:ctrlPr>
                    <w:rPr>
                      <w:rFonts w:ascii="Cambria Math" w:eastAsia="Times New Roman" w:hAnsi="Cambria Math" w:cstheme="minorHAnsi"/>
                      <w:bCs/>
                      <w:i/>
                      <w:lang w:eastAsia="ar-SA"/>
                    </w:rPr>
                  </m:ctrlPr>
                </m:dPr>
                <m:e>
                  <m:f>
                    <m:fPr>
                      <m:ctrlPr>
                        <w:rPr>
                          <w:rFonts w:ascii="Cambria Math" w:eastAsia="Times New Roman" w:hAnsi="Cambria Math" w:cstheme="minorHAnsi"/>
                          <w:bCs/>
                          <w:i/>
                          <w:lang w:eastAsia="ar-SA"/>
                        </w:rPr>
                      </m:ctrlPr>
                    </m:fPr>
                    <m:num>
                      <m:sSub>
                        <m:sSubPr>
                          <m:ctrlPr>
                            <w:rPr>
                              <w:rFonts w:ascii="Cambria Math" w:eastAsia="Times New Roman" w:hAnsi="Cambria Math" w:cstheme="minorHAnsi"/>
                              <w:bCs/>
                              <w:i/>
                              <w:lang w:eastAsia="ar-SA"/>
                            </w:rPr>
                          </m:ctrlPr>
                        </m:sSubPr>
                        <m:e>
                          <m:r>
                            <w:rPr>
                              <w:rFonts w:ascii="Cambria Math" w:eastAsia="Times New Roman" w:hAnsi="Cambria Math" w:cstheme="minorHAnsi"/>
                              <w:lang w:eastAsia="ar-SA"/>
                            </w:rPr>
                            <m:t>A</m:t>
                          </m:r>
                        </m:e>
                        <m:sub>
                          <m:r>
                            <w:rPr>
                              <w:rFonts w:ascii="Cambria Math" w:eastAsia="Times New Roman" w:hAnsi="Cambria Math" w:cstheme="minorHAnsi"/>
                              <w:lang w:eastAsia="ar-SA"/>
                            </w:rPr>
                            <m:t>t</m:t>
                          </m:r>
                        </m:sub>
                      </m:sSub>
                      <m:r>
                        <w:rPr>
                          <w:rFonts w:ascii="Cambria Math" w:eastAsia="Times New Roman" w:hAnsi="Cambria Math" w:cstheme="minorHAnsi"/>
                          <w:lang w:eastAsia="ar-SA"/>
                        </w:rPr>
                        <m:t>-</m:t>
                      </m:r>
                      <m:sSub>
                        <m:sSubPr>
                          <m:ctrlPr>
                            <w:rPr>
                              <w:rFonts w:ascii="Cambria Math" w:eastAsia="Times New Roman" w:hAnsi="Cambria Math" w:cstheme="minorHAnsi"/>
                              <w:bCs/>
                              <w:i/>
                              <w:lang w:eastAsia="ar-SA"/>
                            </w:rPr>
                          </m:ctrlPr>
                        </m:sSubPr>
                        <m:e>
                          <m:r>
                            <w:rPr>
                              <w:rFonts w:ascii="Cambria Math" w:eastAsia="Times New Roman" w:hAnsi="Cambria Math" w:cstheme="minorHAnsi"/>
                              <w:lang w:eastAsia="ar-SA"/>
                            </w:rPr>
                            <m:t>F</m:t>
                          </m:r>
                        </m:e>
                        <m:sub>
                          <m:r>
                            <w:rPr>
                              <w:rFonts w:ascii="Cambria Math" w:eastAsia="Times New Roman" w:hAnsi="Cambria Math" w:cstheme="minorHAnsi"/>
                              <w:lang w:eastAsia="ar-SA"/>
                            </w:rPr>
                            <m:t>t</m:t>
                          </m:r>
                        </m:sub>
                      </m:sSub>
                    </m:num>
                    <m:den>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t</m:t>
                          </m:r>
                        </m:sub>
                      </m:sSub>
                    </m:den>
                  </m:f>
                </m:e>
              </m:d>
              <m:r>
                <w:rPr>
                  <w:rFonts w:ascii="Cambria Math" w:eastAsia="Times New Roman" w:hAnsi="Cambria Math" w:cstheme="minorHAnsi"/>
                  <w:lang w:eastAsia="ar-SA"/>
                </w:rPr>
                <m:t>*100</m:t>
              </m:r>
            </m:e>
          </m:nary>
        </m:oMath>
      </m:oMathPara>
    </w:p>
    <w:p w14:paraId="5F1472DF" w14:textId="77777777" w:rsidR="00802C33" w:rsidRPr="00D05969" w:rsidRDefault="00802C33" w:rsidP="00802C33">
      <w:pPr>
        <w:pStyle w:val="Basic"/>
        <w:rPr>
          <w:rFonts w:asciiTheme="minorHAnsi" w:hAnsiTheme="minorHAnsi" w:cstheme="minorHAnsi"/>
        </w:rPr>
      </w:pPr>
      <w:r w:rsidRPr="00D05969">
        <w:rPr>
          <w:rFonts w:asciiTheme="minorHAnsi" w:hAnsiTheme="minorHAnsi" w:cstheme="minorHAnsi"/>
        </w:rPr>
        <w:t>Όπου:</w:t>
      </w:r>
    </w:p>
    <w:p w14:paraId="2E87BE96" w14:textId="77777777" w:rsidR="00802C33" w:rsidRPr="00D05969" w:rsidRDefault="00802C33" w:rsidP="00802C33">
      <w:pPr>
        <w:pStyle w:val="Basic"/>
        <w:numPr>
          <w:ilvl w:val="0"/>
          <w:numId w:val="41"/>
        </w:numPr>
        <w:rPr>
          <w:rFonts w:asciiTheme="minorHAnsi" w:hAnsiTheme="minorHAnsi" w:cstheme="minorHAnsi"/>
          <w:i/>
        </w:rPr>
      </w:pPr>
      <w:r w:rsidRPr="00D05969">
        <w:rPr>
          <w:rFonts w:asciiTheme="minorHAnsi" w:hAnsiTheme="minorHAnsi" w:cstheme="minorHAnsi"/>
          <w:i/>
        </w:rPr>
        <w:t>Α</w:t>
      </w:r>
      <w:r w:rsidRPr="00D05969">
        <w:rPr>
          <w:rFonts w:asciiTheme="minorHAnsi" w:hAnsiTheme="minorHAnsi" w:cstheme="minorHAnsi"/>
          <w:i/>
          <w:vertAlign w:val="subscript"/>
          <w:lang w:val="en-US"/>
        </w:rPr>
        <w:t>t</w:t>
      </w:r>
      <w:r w:rsidRPr="00D05969">
        <w:rPr>
          <w:rFonts w:asciiTheme="minorHAnsi" w:hAnsiTheme="minorHAnsi" w:cstheme="minorHAnsi"/>
          <w:i/>
        </w:rPr>
        <w:t>: πραγματική τιμή</w:t>
      </w:r>
    </w:p>
    <w:p w14:paraId="28A757B6" w14:textId="77777777" w:rsidR="00802C33" w:rsidRPr="00D05969" w:rsidRDefault="00802C33" w:rsidP="00802C33">
      <w:pPr>
        <w:pStyle w:val="Basic"/>
        <w:numPr>
          <w:ilvl w:val="0"/>
          <w:numId w:val="41"/>
        </w:numPr>
        <w:rPr>
          <w:rFonts w:asciiTheme="minorHAnsi" w:hAnsiTheme="minorHAnsi" w:cstheme="minorHAnsi"/>
          <w:i/>
        </w:rPr>
      </w:pPr>
      <w:r w:rsidRPr="00D05969">
        <w:rPr>
          <w:rFonts w:asciiTheme="minorHAnsi" w:hAnsiTheme="minorHAnsi" w:cstheme="minorHAnsi"/>
          <w:i/>
          <w:lang w:val="en-US"/>
        </w:rPr>
        <w:t>F</w:t>
      </w:r>
      <w:r w:rsidRPr="00D05969">
        <w:rPr>
          <w:rFonts w:asciiTheme="minorHAnsi" w:hAnsiTheme="minorHAnsi" w:cstheme="minorHAnsi"/>
          <w:i/>
          <w:vertAlign w:val="subscript"/>
          <w:lang w:val="en-US"/>
        </w:rPr>
        <w:t>t</w:t>
      </w:r>
      <w:r w:rsidRPr="00D05969">
        <w:rPr>
          <w:rFonts w:asciiTheme="minorHAnsi" w:hAnsiTheme="minorHAnsi" w:cstheme="minorHAnsi"/>
          <w:i/>
        </w:rPr>
        <w:t xml:space="preserve">: τιμή πρόβλεψης </w:t>
      </w:r>
    </w:p>
    <w:p w14:paraId="36DCA514" w14:textId="77777777" w:rsidR="00802C33" w:rsidRPr="00D05969" w:rsidRDefault="00802C33" w:rsidP="00802C33">
      <w:pPr>
        <w:pStyle w:val="Basic"/>
        <w:numPr>
          <w:ilvl w:val="0"/>
          <w:numId w:val="41"/>
        </w:numPr>
        <w:rPr>
          <w:rFonts w:asciiTheme="minorHAnsi" w:hAnsiTheme="minorHAnsi" w:cstheme="minorHAnsi"/>
          <w:i/>
        </w:rPr>
      </w:pPr>
      <w:r w:rsidRPr="00D05969">
        <w:rPr>
          <w:rFonts w:asciiTheme="minorHAnsi" w:hAnsiTheme="minorHAnsi" w:cstheme="minorHAnsi"/>
          <w:i/>
          <w:lang w:val="en-US"/>
        </w:rPr>
        <w:t>t</w:t>
      </w:r>
      <w:r w:rsidRPr="00D05969">
        <w:rPr>
          <w:rFonts w:asciiTheme="minorHAnsi" w:hAnsiTheme="minorHAnsi" w:cstheme="minorHAnsi"/>
          <w:i/>
        </w:rPr>
        <w:t>: χρονικό βήμα</w:t>
      </w:r>
    </w:p>
    <w:p w14:paraId="49B5C070" w14:textId="77777777" w:rsidR="00802C33" w:rsidRPr="00D05969" w:rsidRDefault="00802C33" w:rsidP="00802C33">
      <w:pPr>
        <w:pStyle w:val="Basic"/>
        <w:numPr>
          <w:ilvl w:val="0"/>
          <w:numId w:val="41"/>
        </w:numPr>
        <w:rPr>
          <w:rFonts w:asciiTheme="minorHAnsi" w:hAnsiTheme="minorHAnsi" w:cstheme="minorHAnsi"/>
          <w:i/>
        </w:rPr>
      </w:pPr>
      <w:r w:rsidRPr="00D05969">
        <w:rPr>
          <w:rFonts w:asciiTheme="minorHAnsi" w:hAnsiTheme="minorHAnsi" w:cstheme="minorHAnsi"/>
          <w:i/>
          <w:lang w:val="en-US"/>
        </w:rPr>
        <w:t>n</w:t>
      </w:r>
      <w:r w:rsidRPr="00D05969">
        <w:rPr>
          <w:rFonts w:asciiTheme="minorHAnsi" w:hAnsiTheme="minorHAnsi" w:cstheme="minorHAnsi"/>
          <w:i/>
        </w:rPr>
        <w:t>: μέγεθος δείγματος</w:t>
      </w:r>
    </w:p>
    <w:p w14:paraId="5CA47029" w14:textId="77777777" w:rsidR="00802C33" w:rsidRPr="00D05969" w:rsidRDefault="00802C33" w:rsidP="00802C33">
      <w:pPr>
        <w:pStyle w:val="Basic"/>
        <w:rPr>
          <w:rFonts w:asciiTheme="minorHAnsi" w:hAnsiTheme="minorHAnsi" w:cstheme="minorHAnsi"/>
        </w:rPr>
      </w:pPr>
    </w:p>
    <w:p w14:paraId="2B6FCF2E" w14:textId="77777777" w:rsidR="00802C33" w:rsidRPr="00D05969" w:rsidRDefault="00802C33" w:rsidP="00802C33">
      <w:pPr>
        <w:pStyle w:val="Basic"/>
        <w:numPr>
          <w:ilvl w:val="0"/>
          <w:numId w:val="20"/>
        </w:numPr>
        <w:rPr>
          <w:rFonts w:asciiTheme="minorHAnsi" w:hAnsiTheme="minorHAnsi" w:cstheme="minorHAnsi"/>
          <w:b/>
          <w:i/>
          <w:lang w:val="en-US"/>
        </w:rPr>
      </w:pPr>
      <w:r w:rsidRPr="00D05969">
        <w:rPr>
          <w:rFonts w:asciiTheme="minorHAnsi" w:hAnsiTheme="minorHAnsi" w:cstheme="minorHAnsi"/>
          <w:b/>
          <w:i/>
        </w:rPr>
        <w:t>Μέσο</w:t>
      </w:r>
      <w:r w:rsidRPr="00D05969">
        <w:rPr>
          <w:rFonts w:asciiTheme="minorHAnsi" w:hAnsiTheme="minorHAnsi" w:cstheme="minorHAnsi"/>
          <w:b/>
          <w:i/>
          <w:lang w:val="en-US"/>
        </w:rPr>
        <w:t xml:space="preserve"> </w:t>
      </w:r>
      <w:r w:rsidRPr="00D05969">
        <w:rPr>
          <w:rFonts w:asciiTheme="minorHAnsi" w:hAnsiTheme="minorHAnsi" w:cstheme="minorHAnsi"/>
          <w:b/>
          <w:i/>
        </w:rPr>
        <w:t>τετραγωνικό σφάλμα</w:t>
      </w:r>
      <w:r w:rsidRPr="00D05969">
        <w:rPr>
          <w:rFonts w:asciiTheme="minorHAnsi" w:hAnsiTheme="minorHAnsi" w:cstheme="minorHAnsi"/>
          <w:b/>
          <w:i/>
          <w:lang w:val="en-US"/>
        </w:rPr>
        <w:t>: Mean Squared Error (MSE)</w:t>
      </w:r>
    </w:p>
    <w:p w14:paraId="7B6BDBF8" w14:textId="77777777" w:rsidR="00802C33" w:rsidRDefault="00802C33" w:rsidP="00802C33">
      <w:pPr>
        <w:pStyle w:val="Basic"/>
        <w:rPr>
          <w:rFonts w:asciiTheme="minorHAnsi" w:hAnsiTheme="minorHAnsi" w:cstheme="minorHAnsi"/>
          <w:bCs/>
          <w:lang w:val="en-US"/>
        </w:rPr>
      </w:pPr>
      <w:r w:rsidRPr="00D05969">
        <w:rPr>
          <w:rFonts w:asciiTheme="minorHAnsi" w:hAnsiTheme="minorHAnsi" w:cstheme="minorHAnsi"/>
          <w:bCs/>
        </w:rPr>
        <w:t>Το μέσο σφάλμα τετραγώνου ορίζεται ως το άθροισμα των τετραγώνων των σφαλμάτων διαιρούμενο με τον αριθμό των χρονικών περιόδων n, στις οποίες έγιναν προβλέψεις. Ο δείκτης αυτός είναι η μέση τιμή των τετραγώνων των αποκλίσεων των προβλεπόμενων τιμών της χρονοσειράς από τις αντίστοιχες πραγματικές και η μονάδα μέτρησης του είναι εκφρασμένη στη μονάδα μέτρησης των τιμών των παρατηρήσεων υψωμένη όμως στο τετράγωνο. O Δείκτης υπολογίζεται ως εξής:</w:t>
      </w:r>
    </w:p>
    <w:p w14:paraId="73E2A523" w14:textId="77777777" w:rsidR="00802C33" w:rsidRDefault="00802C33" w:rsidP="00802C33">
      <w:pPr>
        <w:pStyle w:val="Basic"/>
        <w:rPr>
          <w:rFonts w:asciiTheme="minorHAnsi" w:hAnsiTheme="minorHAnsi" w:cstheme="minorHAnsi"/>
          <w:bCs/>
          <w:lang w:val="en-US"/>
        </w:rPr>
      </w:pPr>
    </w:p>
    <w:p w14:paraId="58E62D38" w14:textId="77777777" w:rsidR="00802C33" w:rsidRDefault="00802C33" w:rsidP="00802C33">
      <w:pPr>
        <w:pStyle w:val="Basic"/>
        <w:rPr>
          <w:rFonts w:asciiTheme="minorHAnsi" w:hAnsiTheme="minorHAnsi" w:cstheme="minorHAnsi"/>
          <w:bCs/>
          <w:lang w:val="en-US"/>
        </w:rPr>
      </w:pPr>
      <m:oMathPara>
        <m:oMath>
          <m:r>
            <w:rPr>
              <w:rFonts w:ascii="Cambria Math" w:hAnsi="Cambria Math" w:cstheme="minorHAnsi"/>
              <w:lang w:val="en-US"/>
            </w:rPr>
            <m:t xml:space="preserve">MSE= </m:t>
          </m:r>
          <m:f>
            <m:fPr>
              <m:ctrlPr>
                <w:rPr>
                  <w:rFonts w:ascii="Cambria Math" w:hAnsi="Cambria Math" w:cstheme="minorHAnsi"/>
                  <w:bCs/>
                  <w:i/>
                  <w:lang w:val="en-US"/>
                </w:rPr>
              </m:ctrlPr>
            </m:fPr>
            <m:num>
              <m:nary>
                <m:naryPr>
                  <m:chr m:val="∑"/>
                  <m:limLoc m:val="undOvr"/>
                  <m:ctrlPr>
                    <w:rPr>
                      <w:rFonts w:ascii="Cambria Math" w:hAnsi="Cambria Math" w:cstheme="minorHAnsi"/>
                      <w:bCs/>
                      <w:i/>
                      <w:lang w:val="en-US"/>
                    </w:rPr>
                  </m:ctrlPr>
                </m:naryPr>
                <m:sub>
                  <m:r>
                    <w:rPr>
                      <w:rFonts w:ascii="Cambria Math" w:hAnsi="Cambria Math" w:cstheme="minorHAnsi"/>
                      <w:lang w:val="en-US"/>
                    </w:rPr>
                    <m:t>i=1</m:t>
                  </m:r>
                </m:sub>
                <m:sup>
                  <m:r>
                    <w:rPr>
                      <w:rFonts w:ascii="Cambria Math" w:hAnsi="Cambria Math" w:cstheme="minorHAnsi"/>
                      <w:lang w:val="en-US"/>
                    </w:rPr>
                    <m:t>n</m:t>
                  </m:r>
                </m:sup>
                <m:e>
                  <m:sSup>
                    <m:sSupPr>
                      <m:ctrlPr>
                        <w:rPr>
                          <w:rFonts w:ascii="Cambria Math" w:hAnsi="Cambria Math" w:cstheme="minorHAnsi"/>
                          <w:bCs/>
                          <w:i/>
                          <w:lang w:val="en-US"/>
                        </w:rPr>
                      </m:ctrlPr>
                    </m:sSupPr>
                    <m:e>
                      <m:d>
                        <m:dPr>
                          <m:begChr m:val="|"/>
                          <m:endChr m:val="|"/>
                          <m:ctrlPr>
                            <w:rPr>
                              <w:rFonts w:ascii="Cambria Math" w:hAnsi="Cambria Math" w:cstheme="minorHAnsi"/>
                              <w:bCs/>
                              <w:i/>
                              <w:lang w:val="en-US"/>
                            </w:rPr>
                          </m:ctrlPr>
                        </m:dPr>
                        <m:e>
                          <m:sSub>
                            <m:sSubPr>
                              <m:ctrlPr>
                                <w:rPr>
                                  <w:rFonts w:ascii="Cambria Math" w:hAnsi="Cambria Math" w:cstheme="minorHAnsi"/>
                                  <w:bCs/>
                                  <w:i/>
                                  <w:lang w:val="en-US"/>
                                </w:rPr>
                              </m:ctrlPr>
                            </m:sSubPr>
                            <m:e>
                              <m:r>
                                <w:rPr>
                                  <w:rFonts w:ascii="Cambria Math" w:hAnsi="Cambria Math" w:cstheme="minorHAnsi"/>
                                  <w:lang w:val="en-US"/>
                                </w:rPr>
                                <m:t>y</m:t>
                              </m:r>
                            </m:e>
                            <m:sub>
                              <m:r>
                                <w:rPr>
                                  <w:rFonts w:ascii="Cambria Math" w:hAnsi="Cambria Math" w:cstheme="minorHAnsi"/>
                                  <w:lang w:val="en-US"/>
                                </w:rPr>
                                <m:t>i</m:t>
                              </m:r>
                            </m:sub>
                          </m:sSub>
                          <m:r>
                            <w:rPr>
                              <w:rFonts w:ascii="Cambria Math" w:hAnsi="Cambria Math" w:cstheme="minorHAnsi"/>
                              <w:lang w:val="en-US"/>
                            </w:rPr>
                            <m:t>-</m:t>
                          </m:r>
                          <m:sSub>
                            <m:sSubPr>
                              <m:ctrlPr>
                                <w:rPr>
                                  <w:rFonts w:ascii="Cambria Math" w:hAnsi="Cambria Math" w:cstheme="minorHAnsi"/>
                                  <w:bCs/>
                                  <w:i/>
                                  <w:lang w:val="en-US"/>
                                </w:rPr>
                              </m:ctrlPr>
                            </m:sSubPr>
                            <m:e>
                              <m:r>
                                <w:rPr>
                                  <w:rFonts w:ascii="Cambria Math" w:hAnsi="Cambria Math" w:cstheme="minorHAnsi"/>
                                  <w:lang w:val="en-US"/>
                                </w:rPr>
                                <m:t>x</m:t>
                              </m:r>
                            </m:e>
                            <m:sub>
                              <m:r>
                                <w:rPr>
                                  <w:rFonts w:ascii="Cambria Math" w:hAnsi="Cambria Math" w:cstheme="minorHAnsi"/>
                                  <w:lang w:val="en-US"/>
                                </w:rPr>
                                <m:t>i</m:t>
                              </m:r>
                            </m:sub>
                          </m:sSub>
                        </m:e>
                      </m:d>
                    </m:e>
                    <m:sup>
                      <m:r>
                        <w:rPr>
                          <w:rFonts w:ascii="Cambria Math" w:hAnsi="Cambria Math" w:cstheme="minorHAnsi"/>
                          <w:lang w:val="en-US"/>
                        </w:rPr>
                        <m:t>2</m:t>
                      </m:r>
                    </m:sup>
                  </m:sSup>
                </m:e>
              </m:nary>
            </m:num>
            <m:den>
              <m:r>
                <w:rPr>
                  <w:rFonts w:ascii="Cambria Math" w:hAnsi="Cambria Math" w:cstheme="minorHAnsi"/>
                  <w:lang w:val="en-US"/>
                </w:rPr>
                <m:t>n</m:t>
              </m:r>
            </m:den>
          </m:f>
        </m:oMath>
      </m:oMathPara>
    </w:p>
    <w:p w14:paraId="1161A0C7" w14:textId="77777777" w:rsidR="00802C33" w:rsidRPr="00D05969" w:rsidRDefault="00802C33" w:rsidP="00802C33">
      <w:pPr>
        <w:pStyle w:val="Basic"/>
        <w:rPr>
          <w:rFonts w:asciiTheme="minorHAnsi" w:hAnsiTheme="minorHAnsi" w:cstheme="minorHAnsi"/>
          <w:i/>
        </w:rPr>
      </w:pPr>
      <w:r w:rsidRPr="00D05969">
        <w:rPr>
          <w:rFonts w:asciiTheme="minorHAnsi" w:hAnsiTheme="minorHAnsi" w:cstheme="minorHAnsi"/>
          <w:i/>
        </w:rPr>
        <w:t>Όπου:</w:t>
      </w:r>
    </w:p>
    <w:p w14:paraId="6961A731" w14:textId="77777777" w:rsidR="00802C33" w:rsidRPr="00D05969" w:rsidRDefault="00802C33" w:rsidP="00802C33">
      <w:pPr>
        <w:pStyle w:val="Basic"/>
        <w:numPr>
          <w:ilvl w:val="0"/>
          <w:numId w:val="38"/>
        </w:numPr>
        <w:rPr>
          <w:rFonts w:asciiTheme="minorHAnsi" w:hAnsiTheme="minorHAnsi" w:cstheme="minorHAnsi"/>
          <w:i/>
        </w:rPr>
      </w:pPr>
      <w:r w:rsidRPr="00D05969">
        <w:rPr>
          <w:rFonts w:asciiTheme="minorHAnsi" w:hAnsiTheme="minorHAnsi" w:cstheme="minorHAnsi"/>
          <w:i/>
          <w:lang w:val="en-US"/>
        </w:rPr>
        <w:t>x</w:t>
      </w:r>
      <w:r w:rsidRPr="00D05969">
        <w:rPr>
          <w:rFonts w:asciiTheme="minorHAnsi" w:hAnsiTheme="minorHAnsi" w:cstheme="minorHAnsi"/>
          <w:i/>
          <w:vertAlign w:val="subscript"/>
          <w:lang w:val="en-US"/>
        </w:rPr>
        <w:t>i</w:t>
      </w:r>
      <w:r w:rsidRPr="00D05969">
        <w:rPr>
          <w:rFonts w:asciiTheme="minorHAnsi" w:hAnsiTheme="minorHAnsi" w:cstheme="minorHAnsi"/>
          <w:i/>
        </w:rPr>
        <w:t>: πραγματική τιμή</w:t>
      </w:r>
    </w:p>
    <w:p w14:paraId="6257E5C7" w14:textId="77777777" w:rsidR="00802C33" w:rsidRPr="00D05969" w:rsidRDefault="00802C33" w:rsidP="00802C33">
      <w:pPr>
        <w:pStyle w:val="Basic"/>
        <w:numPr>
          <w:ilvl w:val="0"/>
          <w:numId w:val="38"/>
        </w:numPr>
        <w:rPr>
          <w:rFonts w:asciiTheme="minorHAnsi" w:hAnsiTheme="minorHAnsi" w:cstheme="minorHAnsi"/>
          <w:i/>
        </w:rPr>
      </w:pPr>
      <w:r w:rsidRPr="00D05969">
        <w:rPr>
          <w:rFonts w:asciiTheme="minorHAnsi" w:hAnsiTheme="minorHAnsi" w:cstheme="minorHAnsi"/>
          <w:i/>
        </w:rPr>
        <w:t>y</w:t>
      </w:r>
      <w:r w:rsidRPr="00D05969">
        <w:rPr>
          <w:rFonts w:asciiTheme="minorHAnsi" w:hAnsiTheme="minorHAnsi" w:cstheme="minorHAnsi"/>
          <w:i/>
          <w:vertAlign w:val="subscript"/>
          <w:lang w:val="en-US"/>
        </w:rPr>
        <w:t>i</w:t>
      </w:r>
      <w:r w:rsidRPr="00D05969">
        <w:rPr>
          <w:rFonts w:asciiTheme="minorHAnsi" w:hAnsiTheme="minorHAnsi" w:cstheme="minorHAnsi"/>
          <w:i/>
        </w:rPr>
        <w:t>:τιμή πρόβλεψης</w:t>
      </w:r>
    </w:p>
    <w:p w14:paraId="61170178" w14:textId="77777777" w:rsidR="00802C33" w:rsidRDefault="00802C33" w:rsidP="00802C33">
      <w:pPr>
        <w:pStyle w:val="Basic"/>
        <w:numPr>
          <w:ilvl w:val="0"/>
          <w:numId w:val="38"/>
        </w:numPr>
        <w:rPr>
          <w:rFonts w:asciiTheme="minorHAnsi" w:hAnsiTheme="minorHAnsi" w:cstheme="minorHAnsi"/>
          <w:i/>
        </w:rPr>
      </w:pPr>
      <w:r w:rsidRPr="00D05969">
        <w:rPr>
          <w:rFonts w:asciiTheme="minorHAnsi" w:hAnsiTheme="minorHAnsi" w:cstheme="minorHAnsi"/>
          <w:i/>
          <w:lang w:val="en-US"/>
        </w:rPr>
        <w:lastRenderedPageBreak/>
        <w:t xml:space="preserve">n: </w:t>
      </w:r>
      <w:r w:rsidRPr="00D05969">
        <w:rPr>
          <w:rFonts w:asciiTheme="minorHAnsi" w:hAnsiTheme="minorHAnsi" w:cstheme="minorHAnsi"/>
          <w:i/>
        </w:rPr>
        <w:t>μέγεθος δείγματος</w:t>
      </w:r>
    </w:p>
    <w:p w14:paraId="4AA0544D" w14:textId="77777777" w:rsidR="00802C33" w:rsidRPr="00D72CE0" w:rsidRDefault="00802C33" w:rsidP="00802C33">
      <w:pPr>
        <w:pStyle w:val="Basic"/>
        <w:rPr>
          <w:rFonts w:asciiTheme="minorHAnsi" w:hAnsiTheme="minorHAnsi" w:cstheme="minorHAnsi"/>
          <w:i/>
          <w:lang w:val="en-GB"/>
        </w:rPr>
      </w:pPr>
    </w:p>
    <w:p w14:paraId="03CEE38B" w14:textId="77777777" w:rsidR="00802C33" w:rsidRPr="00D05969" w:rsidRDefault="00802C33" w:rsidP="00802C33">
      <w:pPr>
        <w:pStyle w:val="Basic"/>
        <w:numPr>
          <w:ilvl w:val="0"/>
          <w:numId w:val="20"/>
        </w:numPr>
        <w:rPr>
          <w:rFonts w:asciiTheme="minorHAnsi" w:hAnsiTheme="minorHAnsi" w:cstheme="minorHAnsi"/>
          <w:b/>
          <w:i/>
        </w:rPr>
      </w:pPr>
      <w:r w:rsidRPr="00D05969">
        <w:rPr>
          <w:rFonts w:asciiTheme="minorHAnsi" w:hAnsiTheme="minorHAnsi" w:cstheme="minorHAnsi"/>
          <w:b/>
          <w:i/>
        </w:rPr>
        <w:t xml:space="preserve">Τετραγωνική ρίζα του μέσου τετραγωνικού σφάλματος: </w:t>
      </w:r>
      <w:r w:rsidRPr="00D05969">
        <w:rPr>
          <w:rFonts w:asciiTheme="minorHAnsi" w:hAnsiTheme="minorHAnsi" w:cstheme="minorHAnsi"/>
          <w:b/>
          <w:i/>
          <w:lang w:val="en-US"/>
        </w:rPr>
        <w:t>Root</w:t>
      </w:r>
      <w:r w:rsidRPr="00D05969">
        <w:rPr>
          <w:rFonts w:asciiTheme="minorHAnsi" w:hAnsiTheme="minorHAnsi" w:cstheme="minorHAnsi"/>
          <w:b/>
          <w:i/>
        </w:rPr>
        <w:t xml:space="preserve"> </w:t>
      </w:r>
      <w:r w:rsidRPr="00D05969">
        <w:rPr>
          <w:rFonts w:asciiTheme="minorHAnsi" w:hAnsiTheme="minorHAnsi" w:cstheme="minorHAnsi"/>
          <w:b/>
          <w:i/>
          <w:lang w:val="en-US"/>
        </w:rPr>
        <w:t>Mean</w:t>
      </w:r>
      <w:r w:rsidRPr="00D05969">
        <w:rPr>
          <w:rFonts w:asciiTheme="minorHAnsi" w:hAnsiTheme="minorHAnsi" w:cstheme="minorHAnsi"/>
          <w:b/>
          <w:i/>
        </w:rPr>
        <w:t xml:space="preserve"> </w:t>
      </w:r>
      <w:r w:rsidRPr="00D05969">
        <w:rPr>
          <w:rFonts w:asciiTheme="minorHAnsi" w:hAnsiTheme="minorHAnsi" w:cstheme="minorHAnsi"/>
          <w:b/>
          <w:i/>
          <w:lang w:val="en-US"/>
        </w:rPr>
        <w:t>Squared</w:t>
      </w:r>
      <w:r w:rsidRPr="00D05969">
        <w:rPr>
          <w:rFonts w:asciiTheme="minorHAnsi" w:hAnsiTheme="minorHAnsi" w:cstheme="minorHAnsi"/>
          <w:b/>
          <w:i/>
        </w:rPr>
        <w:t xml:space="preserve"> </w:t>
      </w:r>
      <w:r w:rsidRPr="00D05969">
        <w:rPr>
          <w:rFonts w:asciiTheme="minorHAnsi" w:hAnsiTheme="minorHAnsi" w:cstheme="minorHAnsi"/>
          <w:b/>
          <w:i/>
          <w:lang w:val="en-US"/>
        </w:rPr>
        <w:t>Error</w:t>
      </w:r>
      <w:r w:rsidRPr="00D05969">
        <w:rPr>
          <w:rFonts w:asciiTheme="minorHAnsi" w:hAnsiTheme="minorHAnsi" w:cstheme="minorHAnsi"/>
          <w:b/>
          <w:i/>
        </w:rPr>
        <w:t xml:space="preserve"> (</w:t>
      </w:r>
      <w:r w:rsidRPr="00D05969">
        <w:rPr>
          <w:rFonts w:asciiTheme="minorHAnsi" w:hAnsiTheme="minorHAnsi" w:cstheme="minorHAnsi"/>
          <w:b/>
          <w:i/>
          <w:lang w:val="en-US"/>
        </w:rPr>
        <w:t>RMSE</w:t>
      </w:r>
      <w:r w:rsidRPr="00D05969">
        <w:rPr>
          <w:rFonts w:asciiTheme="minorHAnsi" w:hAnsiTheme="minorHAnsi" w:cstheme="minorHAnsi"/>
          <w:b/>
          <w:i/>
        </w:rPr>
        <w:t>)</w:t>
      </w:r>
    </w:p>
    <w:p w14:paraId="32FC0F9B" w14:textId="77777777" w:rsidR="00802C33" w:rsidRDefault="00802C33" w:rsidP="00802C33">
      <w:pPr>
        <w:jc w:val="both"/>
        <w:rPr>
          <w:rFonts w:cstheme="minorHAnsi"/>
          <w:bCs/>
          <w:lang w:eastAsia="ar-SA"/>
        </w:rPr>
      </w:pPr>
      <w:r w:rsidRPr="00D05969">
        <w:rPr>
          <w:rFonts w:cstheme="minorHAnsi"/>
          <w:bCs/>
          <w:lang w:val="el-GR" w:eastAsia="ar-SA"/>
        </w:rPr>
        <w:t>Η τετραγωνική ρίζα του µέσου τετραγωνικού σφάλµατος εκφράζεται στην ίδια μονάδα μέτρησης με εκείνη των τιμών της χρονοσειράς. Η ύπαρξη προβλέψεων που απέχουν πολύ από τις αντίστοιχες πραγματικές τιμές γίνεται σημαντικά αισθητή λόγω του ότι οι τιμές των σφαλμάτων της πρόβλεψης υψώνονται στο τετράγωνο. Για τον υπολογισμό του Δείκτη χρησιμοποιείται ο ακόλουθος τύπος:</w:t>
      </w:r>
    </w:p>
    <w:p w14:paraId="0AEF8B6C" w14:textId="77777777" w:rsidR="00802C33" w:rsidRDefault="00802C33" w:rsidP="00802C33">
      <w:pPr>
        <w:jc w:val="both"/>
        <w:rPr>
          <w:rFonts w:cstheme="minorHAnsi"/>
          <w:bCs/>
          <w:lang w:eastAsia="ar-SA"/>
        </w:rPr>
      </w:pPr>
      <m:oMathPara>
        <m:oMath>
          <m:r>
            <w:rPr>
              <w:rFonts w:ascii="Cambria Math" w:hAnsi="Cambria Math" w:cstheme="minorHAnsi"/>
            </w:rPr>
            <m:t xml:space="preserve">RMSE=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n</m:t>
              </m:r>
            </m:den>
          </m:f>
          <m:rad>
            <m:radPr>
              <m:degHide m:val="1"/>
              <m:ctrlPr>
                <w:rPr>
                  <w:rFonts w:ascii="Cambria Math" w:hAnsi="Cambria Math" w:cstheme="minorHAnsi"/>
                  <w:bCs/>
                  <w:i/>
                </w:rPr>
              </m:ctrlPr>
            </m:radPr>
            <m:deg/>
            <m:e>
              <m:nary>
                <m:naryPr>
                  <m:chr m:val="∑"/>
                  <m:limLoc m:val="undOvr"/>
                  <m:ctrlPr>
                    <w:rPr>
                      <w:rFonts w:ascii="Cambria Math" w:eastAsia="Times New Roman" w:hAnsi="Cambria Math" w:cstheme="minorHAnsi"/>
                      <w:bCs/>
                      <w:i/>
                      <w:lang w:eastAsia="ar-SA"/>
                    </w:rPr>
                  </m:ctrlPr>
                </m:naryPr>
                <m:sub>
                  <m:r>
                    <w:rPr>
                      <w:rFonts w:ascii="Cambria Math" w:eastAsia="Times New Roman" w:hAnsi="Cambria Math" w:cstheme="minorHAnsi"/>
                      <w:lang w:eastAsia="ar-SA"/>
                    </w:rPr>
                    <m:t>i=1</m:t>
                  </m:r>
                </m:sub>
                <m:sup>
                  <m:r>
                    <w:rPr>
                      <w:rFonts w:ascii="Cambria Math" w:eastAsia="Times New Roman" w:hAnsi="Cambria Math" w:cstheme="minorHAnsi"/>
                      <w:lang w:eastAsia="ar-SA"/>
                    </w:rPr>
                    <m:t>n</m:t>
                  </m:r>
                </m:sup>
                <m:e>
                  <m:sSup>
                    <m:sSupPr>
                      <m:ctrlPr>
                        <w:rPr>
                          <w:rFonts w:ascii="Cambria Math" w:eastAsia="Times New Roman" w:hAnsi="Cambria Math" w:cstheme="minorHAnsi"/>
                          <w:bCs/>
                          <w:i/>
                          <w:lang w:eastAsia="ar-SA"/>
                        </w:rPr>
                      </m:ctrlPr>
                    </m:sSupPr>
                    <m:e>
                      <m:d>
                        <m:dPr>
                          <m:begChr m:val="|"/>
                          <m:endChr m:val="|"/>
                          <m:ctrlPr>
                            <w:rPr>
                              <w:rFonts w:ascii="Cambria Math" w:eastAsia="Times New Roman" w:hAnsi="Cambria Math" w:cstheme="minorHAnsi"/>
                              <w:bCs/>
                              <w:i/>
                              <w:lang w:eastAsia="ar-SA"/>
                            </w:rPr>
                          </m:ctrlPr>
                        </m:dPr>
                        <m:e>
                          <m:sSub>
                            <m:sSubPr>
                              <m:ctrlPr>
                                <w:rPr>
                                  <w:rFonts w:ascii="Cambria Math" w:eastAsia="Times New Roman" w:hAnsi="Cambria Math" w:cstheme="minorHAnsi"/>
                                  <w:bCs/>
                                  <w:i/>
                                  <w:lang w:eastAsia="ar-SA"/>
                                </w:rPr>
                              </m:ctrlPr>
                            </m:sSubPr>
                            <m:e>
                              <m:r>
                                <w:rPr>
                                  <w:rFonts w:ascii="Cambria Math" w:eastAsia="Times New Roman" w:hAnsi="Cambria Math" w:cstheme="minorHAnsi"/>
                                  <w:lang w:eastAsia="ar-SA"/>
                                </w:rPr>
                                <m:t>y</m:t>
                              </m:r>
                            </m:e>
                            <m:sub>
                              <m:r>
                                <w:rPr>
                                  <w:rFonts w:ascii="Cambria Math" w:eastAsia="Times New Roman" w:hAnsi="Cambria Math" w:cstheme="minorHAnsi"/>
                                  <w:lang w:eastAsia="ar-SA"/>
                                </w:rPr>
                                <m:t>i</m:t>
                              </m:r>
                            </m:sub>
                          </m:sSub>
                          <m:r>
                            <w:rPr>
                              <w:rFonts w:ascii="Cambria Math" w:eastAsia="Times New Roman" w:hAnsi="Cambria Math" w:cstheme="minorHAnsi"/>
                              <w:lang w:eastAsia="ar-SA"/>
                            </w:rPr>
                            <m:t>-</m:t>
                          </m:r>
                          <m:sSub>
                            <m:sSubPr>
                              <m:ctrlPr>
                                <w:rPr>
                                  <w:rFonts w:ascii="Cambria Math" w:eastAsia="Times New Roman" w:hAnsi="Cambria Math" w:cstheme="minorHAnsi"/>
                                  <w:bCs/>
                                  <w:i/>
                                  <w:lang w:eastAsia="ar-SA"/>
                                </w:rPr>
                              </m:ctrlPr>
                            </m:sSubPr>
                            <m:e>
                              <m:r>
                                <w:rPr>
                                  <w:rFonts w:ascii="Cambria Math" w:eastAsia="Times New Roman" w:hAnsi="Cambria Math" w:cstheme="minorHAnsi"/>
                                  <w:lang w:eastAsia="ar-SA"/>
                                </w:rPr>
                                <m:t>x</m:t>
                              </m:r>
                            </m:e>
                            <m:sub>
                              <m:r>
                                <w:rPr>
                                  <w:rFonts w:ascii="Cambria Math" w:eastAsia="Times New Roman" w:hAnsi="Cambria Math" w:cstheme="minorHAnsi"/>
                                  <w:lang w:eastAsia="ar-SA"/>
                                </w:rPr>
                                <m:t>i</m:t>
                              </m:r>
                            </m:sub>
                          </m:sSub>
                        </m:e>
                      </m:d>
                    </m:e>
                    <m:sup>
                      <m:r>
                        <w:rPr>
                          <w:rFonts w:ascii="Cambria Math" w:eastAsia="Times New Roman" w:hAnsi="Cambria Math" w:cstheme="minorHAnsi"/>
                          <w:lang w:eastAsia="ar-SA"/>
                        </w:rPr>
                        <m:t>2</m:t>
                      </m:r>
                    </m:sup>
                  </m:sSup>
                </m:e>
              </m:nary>
            </m:e>
          </m:rad>
        </m:oMath>
      </m:oMathPara>
    </w:p>
    <w:p w14:paraId="22C4671B" w14:textId="77777777" w:rsidR="00802C33" w:rsidRPr="00D05969" w:rsidRDefault="00802C33" w:rsidP="00802C33">
      <w:pPr>
        <w:pStyle w:val="Basic"/>
        <w:rPr>
          <w:rFonts w:asciiTheme="minorHAnsi" w:hAnsiTheme="minorHAnsi" w:cstheme="minorHAnsi"/>
        </w:rPr>
      </w:pPr>
      <w:r w:rsidRPr="00D05969">
        <w:rPr>
          <w:rFonts w:asciiTheme="minorHAnsi" w:hAnsiTheme="minorHAnsi" w:cstheme="minorHAnsi"/>
        </w:rPr>
        <w:t>Όπου:</w:t>
      </w:r>
    </w:p>
    <w:p w14:paraId="63B44B7A" w14:textId="77777777" w:rsidR="00802C33" w:rsidRPr="00D05969" w:rsidRDefault="00802C33" w:rsidP="00802C33">
      <w:pPr>
        <w:pStyle w:val="Basic"/>
        <w:numPr>
          <w:ilvl w:val="0"/>
          <w:numId w:val="36"/>
        </w:numPr>
        <w:rPr>
          <w:rFonts w:asciiTheme="minorHAnsi" w:hAnsiTheme="minorHAnsi" w:cstheme="minorHAnsi"/>
          <w:i/>
        </w:rPr>
      </w:pPr>
      <w:r w:rsidRPr="00D05969">
        <w:rPr>
          <w:rFonts w:asciiTheme="minorHAnsi" w:hAnsiTheme="minorHAnsi" w:cstheme="minorHAnsi"/>
          <w:i/>
          <w:lang w:val="en-US"/>
        </w:rPr>
        <w:t>x</w:t>
      </w:r>
      <w:r w:rsidRPr="00D05969">
        <w:rPr>
          <w:rFonts w:asciiTheme="minorHAnsi" w:hAnsiTheme="minorHAnsi" w:cstheme="minorHAnsi"/>
          <w:i/>
          <w:vertAlign w:val="subscript"/>
          <w:lang w:val="en-US"/>
        </w:rPr>
        <w:t>i</w:t>
      </w:r>
      <w:r w:rsidRPr="00D05969">
        <w:rPr>
          <w:rFonts w:asciiTheme="minorHAnsi" w:hAnsiTheme="minorHAnsi" w:cstheme="minorHAnsi"/>
          <w:i/>
        </w:rPr>
        <w:t>: πραγματική τιμή</w:t>
      </w:r>
    </w:p>
    <w:p w14:paraId="16C06AE7" w14:textId="77777777" w:rsidR="00802C33" w:rsidRPr="00D05969" w:rsidRDefault="00802C33" w:rsidP="00802C33">
      <w:pPr>
        <w:pStyle w:val="Basic"/>
        <w:numPr>
          <w:ilvl w:val="0"/>
          <w:numId w:val="36"/>
        </w:numPr>
        <w:rPr>
          <w:rFonts w:asciiTheme="minorHAnsi" w:hAnsiTheme="minorHAnsi" w:cstheme="minorHAnsi"/>
          <w:i/>
        </w:rPr>
      </w:pPr>
      <w:r w:rsidRPr="00D05969">
        <w:rPr>
          <w:rFonts w:asciiTheme="minorHAnsi" w:hAnsiTheme="minorHAnsi" w:cstheme="minorHAnsi"/>
          <w:i/>
        </w:rPr>
        <w:t>y</w:t>
      </w:r>
      <w:r w:rsidRPr="00D05969">
        <w:rPr>
          <w:rFonts w:asciiTheme="minorHAnsi" w:hAnsiTheme="minorHAnsi" w:cstheme="minorHAnsi"/>
          <w:i/>
          <w:vertAlign w:val="subscript"/>
          <w:lang w:val="en-US"/>
        </w:rPr>
        <w:t>i</w:t>
      </w:r>
      <w:r w:rsidRPr="00D05969">
        <w:rPr>
          <w:rFonts w:asciiTheme="minorHAnsi" w:hAnsiTheme="minorHAnsi" w:cstheme="minorHAnsi"/>
          <w:i/>
        </w:rPr>
        <w:t>:τιμή πρόβλεψης</w:t>
      </w:r>
    </w:p>
    <w:p w14:paraId="6ED1E2C0" w14:textId="77777777" w:rsidR="00802C33" w:rsidRDefault="00802C33" w:rsidP="00802C33">
      <w:pPr>
        <w:pStyle w:val="Basic"/>
        <w:numPr>
          <w:ilvl w:val="0"/>
          <w:numId w:val="36"/>
        </w:numPr>
        <w:rPr>
          <w:rFonts w:asciiTheme="minorHAnsi" w:hAnsiTheme="minorHAnsi" w:cstheme="minorHAnsi"/>
          <w:i/>
        </w:rPr>
      </w:pPr>
      <w:r w:rsidRPr="00D05969">
        <w:rPr>
          <w:rFonts w:asciiTheme="minorHAnsi" w:hAnsiTheme="minorHAnsi" w:cstheme="minorHAnsi"/>
          <w:i/>
          <w:lang w:val="en-US"/>
        </w:rPr>
        <w:t xml:space="preserve">n: </w:t>
      </w:r>
      <w:r w:rsidRPr="00D05969">
        <w:rPr>
          <w:rFonts w:asciiTheme="minorHAnsi" w:hAnsiTheme="minorHAnsi" w:cstheme="minorHAnsi"/>
          <w:i/>
        </w:rPr>
        <w:t>μέγεθος δείγματος</w:t>
      </w:r>
    </w:p>
    <w:p w14:paraId="04F4E0DB" w14:textId="77777777" w:rsidR="00802C33" w:rsidRPr="00813C54" w:rsidRDefault="00802C33" w:rsidP="00802C33">
      <w:pPr>
        <w:pStyle w:val="Basic"/>
        <w:rPr>
          <w:rFonts w:asciiTheme="minorHAnsi" w:hAnsiTheme="minorHAnsi" w:cstheme="minorHAnsi"/>
          <w:i/>
        </w:rPr>
      </w:pPr>
    </w:p>
    <w:p w14:paraId="4162E3D6" w14:textId="77777777" w:rsidR="00802C33" w:rsidRPr="00802C33" w:rsidRDefault="00802C33" w:rsidP="00802C33">
      <w:pPr>
        <w:pStyle w:val="Basic"/>
        <w:numPr>
          <w:ilvl w:val="0"/>
          <w:numId w:val="20"/>
        </w:numPr>
        <w:rPr>
          <w:rFonts w:ascii="Calibri" w:hAnsi="Calibri" w:cs="Calibri"/>
          <w:bCs/>
          <w:lang w:val="en-US"/>
        </w:rPr>
      </w:pPr>
      <w:r w:rsidRPr="00802C33">
        <w:rPr>
          <w:rFonts w:ascii="Calibri" w:hAnsi="Calibri" w:cs="Calibri"/>
          <w:b/>
          <w:i/>
          <w:lang w:val="en-US"/>
        </w:rPr>
        <w:t xml:space="preserve">Απόλυτο Σφάλμα </w:t>
      </w:r>
      <w:r w:rsidRPr="00802C33">
        <w:rPr>
          <w:rFonts w:ascii="Calibri" w:hAnsi="Calibri" w:cs="Calibri"/>
          <w:b/>
          <w:i/>
        </w:rPr>
        <w:t>Διαμέσου</w:t>
      </w:r>
      <w:r w:rsidRPr="00802C33">
        <w:rPr>
          <w:rFonts w:ascii="Calibri" w:hAnsi="Calibri" w:cs="Calibri"/>
          <w:b/>
          <w:i/>
          <w:lang w:val="en-US"/>
        </w:rPr>
        <w:t>: Median Absolute Error (MedAE)</w:t>
      </w:r>
    </w:p>
    <w:p w14:paraId="09CB5E04" w14:textId="77777777" w:rsidR="00802C33" w:rsidRPr="00AF380D" w:rsidRDefault="00802C33" w:rsidP="00802C33">
      <w:pPr>
        <w:jc w:val="both"/>
        <w:rPr>
          <w:rFonts w:cstheme="minorHAnsi"/>
          <w:bCs/>
          <w:lang w:val="el-GR" w:eastAsia="ar-SA"/>
        </w:rPr>
      </w:pPr>
      <w:r w:rsidRPr="00D05969">
        <w:rPr>
          <w:rFonts w:cstheme="minorHAnsi"/>
          <w:bCs/>
          <w:lang w:val="el-GR" w:eastAsia="ar-SA"/>
        </w:rPr>
        <w:t xml:space="preserve">Το απόλυτο σφάλμα διαμέσου (MedAE) υπολογίζει τη διάμεση απόκλιση μεταξύ προβλέψεων και πραγματικών τιμών. </w:t>
      </w:r>
      <w:r w:rsidRPr="00D05969">
        <w:rPr>
          <w:rFonts w:cstheme="minorHAnsi"/>
          <w:bCs/>
          <w:lang w:eastAsia="ar-SA"/>
        </w:rPr>
        <w:t>H</w:t>
      </w:r>
      <w:r w:rsidRPr="00D05969">
        <w:rPr>
          <w:rFonts w:cstheme="minorHAnsi"/>
          <w:bCs/>
          <w:lang w:val="el-GR" w:eastAsia="ar-SA"/>
        </w:rPr>
        <w:t xml:space="preserve"> μονάδα μέτρησης του δείκτη είναι εκφρασμένη στη μονάδα μέτρησης των τιμών των παρατηρήσεων και για τον υπολογισμό του χρησιμοποιείται ο ακόλουθος τύπος:</w:t>
      </w:r>
    </w:p>
    <w:p w14:paraId="59E267B0" w14:textId="77777777" w:rsidR="00802C33" w:rsidRPr="00893B34" w:rsidRDefault="00802C33" w:rsidP="00802C33">
      <w:pPr>
        <w:jc w:val="both"/>
        <w:rPr>
          <w:rFonts w:cstheme="minorHAnsi"/>
          <w:bCs/>
          <w:lang w:eastAsia="ar-SA"/>
        </w:rPr>
      </w:pPr>
      <w:bookmarkStart w:id="22" w:name="_Hlk100217270"/>
      <m:oMathPara>
        <m:oMath>
          <m:r>
            <w:rPr>
              <w:rFonts w:ascii="Cambria Math" w:hAnsi="Cambria Math" w:cstheme="minorHAnsi"/>
            </w:rPr>
            <m:t xml:space="preserve">MedAE= </m:t>
          </m:r>
          <m:f>
            <m:fPr>
              <m:ctrlPr>
                <w:rPr>
                  <w:rFonts w:ascii="Cambria Math" w:hAnsi="Cambria Math" w:cstheme="minorHAnsi"/>
                  <w:bCs/>
                  <w:i/>
                </w:rPr>
              </m:ctrlPr>
            </m:fPr>
            <m:num>
              <m:nary>
                <m:naryPr>
                  <m:chr m:val="∑"/>
                  <m:limLoc m:val="undOvr"/>
                  <m:ctrlPr>
                    <w:rPr>
                      <w:rFonts w:ascii="Cambria Math" w:hAnsi="Cambria Math" w:cstheme="minorHAnsi"/>
                      <w:bCs/>
                      <w:i/>
                    </w:rPr>
                  </m:ctrlPr>
                </m:naryPr>
                <m:sub>
                  <m:r>
                    <w:rPr>
                      <w:rFonts w:ascii="Cambria Math" w:hAnsi="Cambria Math" w:cstheme="minorHAnsi"/>
                    </w:rPr>
                    <m:t>i=1</m:t>
                  </m:r>
                </m:sub>
                <m:sup>
                  <m:r>
                    <w:rPr>
                      <w:rFonts w:ascii="Cambria Math" w:hAnsi="Cambria Math" w:cstheme="minorHAnsi"/>
                    </w:rPr>
                    <m:t>n</m:t>
                  </m:r>
                </m:sup>
                <m:e>
                  <m:d>
                    <m:dPr>
                      <m:begChr m:val="|"/>
                      <m:endChr m:val="|"/>
                      <m:ctrlPr>
                        <w:rPr>
                          <w:rFonts w:ascii="Cambria Math" w:hAnsi="Cambria Math" w:cstheme="minorHAnsi"/>
                          <w:bCs/>
                          <w:i/>
                        </w:rPr>
                      </m:ctrlPr>
                    </m:dPr>
                    <m:e>
                      <m:sSub>
                        <m:sSubPr>
                          <m:ctrlPr>
                            <w:rPr>
                              <w:rFonts w:ascii="Cambria Math" w:hAnsi="Cambria Math" w:cstheme="minorHAnsi"/>
                              <w:bCs/>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median(x</m:t>
                          </m:r>
                        </m:e>
                        <m:sub>
                          <m:r>
                            <w:rPr>
                              <w:rFonts w:ascii="Cambria Math" w:hAnsi="Cambria Math" w:cstheme="minorHAnsi"/>
                            </w:rPr>
                            <m:t>i</m:t>
                          </m:r>
                        </m:sub>
                      </m:sSub>
                      <m:r>
                        <w:rPr>
                          <w:rFonts w:ascii="Cambria Math" w:hAnsi="Cambria Math" w:cstheme="minorHAnsi"/>
                        </w:rPr>
                        <m:t>)</m:t>
                      </m:r>
                    </m:e>
                  </m:d>
                </m:e>
              </m:nary>
            </m:num>
            <m:den>
              <m:r>
                <w:rPr>
                  <w:rFonts w:ascii="Cambria Math" w:hAnsi="Cambria Math" w:cstheme="minorHAnsi"/>
                </w:rPr>
                <m:t>n</m:t>
              </m:r>
            </m:den>
          </m:f>
        </m:oMath>
      </m:oMathPara>
      <w:bookmarkEnd w:id="22"/>
    </w:p>
    <w:p w14:paraId="5DB0B988" w14:textId="77777777" w:rsidR="00802C33" w:rsidRPr="00893B34" w:rsidRDefault="00802C33" w:rsidP="00802C33">
      <w:pPr>
        <w:pStyle w:val="Basic"/>
        <w:rPr>
          <w:rFonts w:asciiTheme="minorHAnsi" w:hAnsiTheme="minorHAnsi" w:cstheme="minorHAnsi"/>
        </w:rPr>
      </w:pPr>
      <w:r w:rsidRPr="00893B34">
        <w:rPr>
          <w:rFonts w:asciiTheme="minorHAnsi" w:hAnsiTheme="minorHAnsi" w:cstheme="minorHAnsi"/>
        </w:rPr>
        <w:t>Όπου:</w:t>
      </w:r>
    </w:p>
    <w:p w14:paraId="5FCA7424" w14:textId="77777777" w:rsidR="00802C33" w:rsidRPr="00893B34" w:rsidRDefault="00802C33" w:rsidP="00802C33">
      <w:pPr>
        <w:pStyle w:val="Basic"/>
        <w:numPr>
          <w:ilvl w:val="0"/>
          <w:numId w:val="35"/>
        </w:numPr>
        <w:rPr>
          <w:rFonts w:asciiTheme="minorHAnsi" w:hAnsiTheme="minorHAnsi" w:cstheme="minorHAnsi"/>
          <w:i/>
        </w:rPr>
      </w:pPr>
      <w:bookmarkStart w:id="23" w:name="_Hlk100217290"/>
      <w:r w:rsidRPr="00893B34">
        <w:rPr>
          <w:rFonts w:asciiTheme="minorHAnsi" w:hAnsiTheme="minorHAnsi" w:cstheme="minorHAnsi"/>
          <w:i/>
          <w:lang w:val="en-US"/>
        </w:rPr>
        <w:t>Median</w:t>
      </w:r>
      <w:r w:rsidRPr="00893B34">
        <w:rPr>
          <w:rFonts w:asciiTheme="minorHAnsi" w:hAnsiTheme="minorHAnsi" w:cstheme="minorHAnsi"/>
          <w:i/>
        </w:rPr>
        <w:t>(</w:t>
      </w:r>
      <w:r w:rsidRPr="00893B34">
        <w:rPr>
          <w:rFonts w:asciiTheme="minorHAnsi" w:hAnsiTheme="minorHAnsi" w:cstheme="minorHAnsi"/>
          <w:i/>
          <w:lang w:val="en-US"/>
        </w:rPr>
        <w:t>x</w:t>
      </w:r>
      <w:r w:rsidRPr="00893B34">
        <w:rPr>
          <w:rFonts w:asciiTheme="minorHAnsi" w:hAnsiTheme="minorHAnsi" w:cstheme="minorHAnsi"/>
          <w:i/>
          <w:vertAlign w:val="subscript"/>
          <w:lang w:val="en-US"/>
        </w:rPr>
        <w:t>i</w:t>
      </w:r>
      <w:r w:rsidRPr="00893B34">
        <w:rPr>
          <w:rFonts w:asciiTheme="minorHAnsi" w:hAnsiTheme="minorHAnsi" w:cstheme="minorHAnsi"/>
          <w:i/>
        </w:rPr>
        <w:t>): διάμεσος δείγματος πραγματικών τιμών</w:t>
      </w:r>
    </w:p>
    <w:bookmarkEnd w:id="23"/>
    <w:p w14:paraId="74D66BD5" w14:textId="77777777" w:rsidR="00802C33" w:rsidRPr="00893B34" w:rsidRDefault="00802C33" w:rsidP="00802C33">
      <w:pPr>
        <w:pStyle w:val="Basic"/>
        <w:numPr>
          <w:ilvl w:val="0"/>
          <w:numId w:val="35"/>
        </w:numPr>
        <w:rPr>
          <w:rFonts w:asciiTheme="minorHAnsi" w:hAnsiTheme="minorHAnsi" w:cstheme="minorHAnsi"/>
          <w:i/>
        </w:rPr>
      </w:pPr>
      <w:r w:rsidRPr="00893B34">
        <w:rPr>
          <w:rFonts w:asciiTheme="minorHAnsi" w:hAnsiTheme="minorHAnsi" w:cstheme="minorHAnsi"/>
          <w:i/>
        </w:rPr>
        <w:t>y</w:t>
      </w:r>
      <w:r w:rsidRPr="00893B34">
        <w:rPr>
          <w:rFonts w:asciiTheme="minorHAnsi" w:hAnsiTheme="minorHAnsi" w:cstheme="minorHAnsi"/>
          <w:i/>
          <w:vertAlign w:val="subscript"/>
          <w:lang w:val="en-US"/>
        </w:rPr>
        <w:t>i</w:t>
      </w:r>
      <w:r w:rsidRPr="00893B34">
        <w:rPr>
          <w:rFonts w:asciiTheme="minorHAnsi" w:hAnsiTheme="minorHAnsi" w:cstheme="minorHAnsi"/>
          <w:i/>
        </w:rPr>
        <w:t>:τιμή πρόβλεψης</w:t>
      </w:r>
    </w:p>
    <w:p w14:paraId="60F3B3A7" w14:textId="77777777" w:rsidR="00802C33" w:rsidRPr="00893B34" w:rsidRDefault="00802C33" w:rsidP="00802C33">
      <w:pPr>
        <w:pStyle w:val="a3"/>
        <w:numPr>
          <w:ilvl w:val="0"/>
          <w:numId w:val="35"/>
        </w:numPr>
        <w:jc w:val="both"/>
        <w:rPr>
          <w:rFonts w:cstheme="minorHAnsi"/>
          <w:i/>
          <w:lang w:val="el-GR"/>
        </w:rPr>
      </w:pPr>
      <w:r w:rsidRPr="00893B34">
        <w:rPr>
          <w:rFonts w:cstheme="minorHAnsi"/>
          <w:i/>
        </w:rPr>
        <w:t>n</w:t>
      </w:r>
      <w:r w:rsidRPr="00893B34">
        <w:rPr>
          <w:rFonts w:cstheme="minorHAnsi"/>
          <w:i/>
          <w:lang w:val="el-GR"/>
        </w:rPr>
        <w:t>: μέγεθος δείγματος</w:t>
      </w:r>
    </w:p>
    <w:p w14:paraId="003FEF74" w14:textId="77777777" w:rsidR="00802C33" w:rsidRPr="00D56D1A" w:rsidRDefault="00802C33" w:rsidP="00802C33">
      <w:pPr>
        <w:pStyle w:val="a3"/>
        <w:jc w:val="both"/>
        <w:rPr>
          <w:rFonts w:cstheme="minorHAnsi"/>
          <w:i/>
          <w:lang w:val="el-GR"/>
        </w:rPr>
      </w:pPr>
    </w:p>
    <w:p w14:paraId="2FD1EA31" w14:textId="77777777" w:rsidR="00802C33" w:rsidRPr="0019606F" w:rsidRDefault="00802C33" w:rsidP="00802C33">
      <w:pPr>
        <w:pStyle w:val="a3"/>
        <w:numPr>
          <w:ilvl w:val="0"/>
          <w:numId w:val="20"/>
        </w:numPr>
        <w:rPr>
          <w:rFonts w:ascii="Calibri" w:eastAsia="Times New Roman" w:hAnsi="Calibri" w:cs="Calibri"/>
          <w:b/>
          <w:i/>
          <w:lang w:eastAsia="ar-SA"/>
        </w:rPr>
      </w:pPr>
      <w:r w:rsidRPr="0019606F">
        <w:rPr>
          <w:rFonts w:ascii="Times New Roman" w:eastAsia="Times New Roman" w:hAnsi="Times New Roman"/>
          <w:b/>
          <w:i/>
          <w:sz w:val="24"/>
          <w:szCs w:val="24"/>
          <w:lang w:eastAsia="ar-SA"/>
        </w:rPr>
        <w:t xml:space="preserve"> </w:t>
      </w:r>
      <w:r w:rsidRPr="00802C33">
        <w:rPr>
          <w:rFonts w:ascii="Calibri" w:eastAsia="Times New Roman" w:hAnsi="Calibri" w:cs="Calibri"/>
          <w:b/>
          <w:i/>
          <w:lang w:val="el-GR" w:eastAsia="ar-SA"/>
        </w:rPr>
        <w:t>Απόλυτο</w:t>
      </w:r>
      <w:r w:rsidRPr="0019606F">
        <w:rPr>
          <w:rFonts w:ascii="Calibri" w:eastAsia="Times New Roman" w:hAnsi="Calibri" w:cs="Calibri"/>
          <w:b/>
          <w:i/>
          <w:lang w:eastAsia="ar-SA"/>
        </w:rPr>
        <w:t xml:space="preserve"> </w:t>
      </w:r>
      <w:r w:rsidRPr="00802C33">
        <w:rPr>
          <w:rFonts w:ascii="Calibri" w:eastAsia="Times New Roman" w:hAnsi="Calibri" w:cs="Calibri"/>
          <w:b/>
          <w:i/>
          <w:lang w:val="el-GR" w:eastAsia="ar-SA"/>
        </w:rPr>
        <w:t>ποσοστιαίο</w:t>
      </w:r>
      <w:r w:rsidRPr="0019606F">
        <w:rPr>
          <w:rFonts w:ascii="Calibri" w:eastAsia="Times New Roman" w:hAnsi="Calibri" w:cs="Calibri"/>
          <w:b/>
          <w:i/>
          <w:lang w:eastAsia="ar-SA"/>
        </w:rPr>
        <w:t xml:space="preserve"> </w:t>
      </w:r>
      <w:r w:rsidRPr="00802C33">
        <w:rPr>
          <w:rFonts w:ascii="Calibri" w:eastAsia="Times New Roman" w:hAnsi="Calibri" w:cs="Calibri"/>
          <w:b/>
          <w:i/>
          <w:lang w:val="el-GR" w:eastAsia="ar-SA"/>
        </w:rPr>
        <w:t>σφάλμα</w:t>
      </w:r>
      <w:r w:rsidRPr="0019606F">
        <w:rPr>
          <w:rFonts w:ascii="Calibri" w:eastAsia="Times New Roman" w:hAnsi="Calibri" w:cs="Calibri"/>
          <w:b/>
          <w:i/>
          <w:lang w:eastAsia="ar-SA"/>
        </w:rPr>
        <w:t xml:space="preserve"> </w:t>
      </w:r>
      <w:r w:rsidRPr="00802C33">
        <w:rPr>
          <w:rFonts w:ascii="Calibri" w:eastAsia="Times New Roman" w:hAnsi="Calibri" w:cs="Calibri"/>
          <w:b/>
          <w:i/>
          <w:lang w:val="el-GR" w:eastAsia="ar-SA"/>
        </w:rPr>
        <w:t>Διαμέσου</w:t>
      </w:r>
      <w:r w:rsidRPr="0019606F">
        <w:rPr>
          <w:rFonts w:ascii="Calibri" w:eastAsia="Times New Roman" w:hAnsi="Calibri" w:cs="Calibri"/>
          <w:b/>
          <w:i/>
          <w:lang w:eastAsia="ar-SA"/>
        </w:rPr>
        <w:t xml:space="preserve">: </w:t>
      </w:r>
      <w:r w:rsidRPr="00802C33">
        <w:rPr>
          <w:rFonts w:ascii="Calibri" w:eastAsia="Times New Roman" w:hAnsi="Calibri" w:cs="Calibri"/>
          <w:b/>
          <w:i/>
          <w:lang w:eastAsia="ar-SA"/>
        </w:rPr>
        <w:t>Median</w:t>
      </w:r>
      <w:r w:rsidRPr="0019606F">
        <w:rPr>
          <w:rFonts w:ascii="Calibri" w:eastAsia="Times New Roman" w:hAnsi="Calibri" w:cs="Calibri"/>
          <w:b/>
          <w:i/>
          <w:lang w:eastAsia="ar-SA"/>
        </w:rPr>
        <w:t xml:space="preserve"> </w:t>
      </w:r>
      <w:r w:rsidRPr="00802C33">
        <w:rPr>
          <w:rFonts w:ascii="Calibri" w:eastAsia="Times New Roman" w:hAnsi="Calibri" w:cs="Calibri"/>
          <w:b/>
          <w:i/>
          <w:lang w:eastAsia="ar-SA"/>
        </w:rPr>
        <w:t>Absolute</w:t>
      </w:r>
      <w:r w:rsidRPr="0019606F">
        <w:rPr>
          <w:rFonts w:ascii="Calibri" w:eastAsia="Times New Roman" w:hAnsi="Calibri" w:cs="Calibri"/>
          <w:b/>
          <w:i/>
          <w:lang w:eastAsia="ar-SA"/>
        </w:rPr>
        <w:t xml:space="preserve"> </w:t>
      </w:r>
      <w:r w:rsidRPr="00802C33">
        <w:rPr>
          <w:rFonts w:ascii="Calibri" w:eastAsia="Times New Roman" w:hAnsi="Calibri" w:cs="Calibri"/>
          <w:b/>
          <w:i/>
          <w:lang w:eastAsia="ar-SA"/>
        </w:rPr>
        <w:t>Percentage</w:t>
      </w:r>
      <w:r w:rsidRPr="0019606F">
        <w:rPr>
          <w:rFonts w:ascii="Calibri" w:eastAsia="Times New Roman" w:hAnsi="Calibri" w:cs="Calibri"/>
          <w:b/>
          <w:i/>
          <w:lang w:eastAsia="ar-SA"/>
        </w:rPr>
        <w:t xml:space="preserve"> </w:t>
      </w:r>
      <w:r w:rsidRPr="00802C33">
        <w:rPr>
          <w:rFonts w:ascii="Calibri" w:eastAsia="Times New Roman" w:hAnsi="Calibri" w:cs="Calibri"/>
          <w:b/>
          <w:i/>
          <w:lang w:eastAsia="ar-SA"/>
        </w:rPr>
        <w:t>Error</w:t>
      </w:r>
      <w:r w:rsidRPr="0019606F">
        <w:rPr>
          <w:rFonts w:ascii="Calibri" w:eastAsia="Times New Roman" w:hAnsi="Calibri" w:cs="Calibri"/>
          <w:b/>
          <w:i/>
          <w:lang w:eastAsia="ar-SA"/>
        </w:rPr>
        <w:t xml:space="preserve"> (</w:t>
      </w:r>
      <w:r w:rsidRPr="00802C33">
        <w:rPr>
          <w:rFonts w:ascii="Calibri" w:eastAsia="Times New Roman" w:hAnsi="Calibri" w:cs="Calibri"/>
          <w:b/>
          <w:i/>
          <w:lang w:eastAsia="ar-SA"/>
        </w:rPr>
        <w:t>MdAPE</w:t>
      </w:r>
      <w:r w:rsidRPr="0019606F">
        <w:rPr>
          <w:rFonts w:ascii="Calibri" w:eastAsia="Times New Roman" w:hAnsi="Calibri" w:cs="Calibri"/>
          <w:b/>
          <w:i/>
          <w:lang w:eastAsia="ar-SA"/>
        </w:rPr>
        <w:t>)</w:t>
      </w:r>
    </w:p>
    <w:p w14:paraId="2312245C" w14:textId="77777777" w:rsidR="00802C33" w:rsidRDefault="00802C33" w:rsidP="00802C33">
      <w:pPr>
        <w:jc w:val="both"/>
        <w:rPr>
          <w:rFonts w:cstheme="minorHAnsi"/>
          <w:bCs/>
          <w:lang w:eastAsia="ar-SA"/>
        </w:rPr>
      </w:pPr>
      <w:r w:rsidRPr="00D05969">
        <w:rPr>
          <w:rFonts w:cstheme="minorHAnsi"/>
          <w:bCs/>
          <w:lang w:val="el-GR" w:eastAsia="ar-SA"/>
        </w:rPr>
        <w:t>Ο δείκτης υπολογίζεται λαμβάνοντας τη διάμεσο όλων των απόλυτων διαφορών μεταξύ του στόχου και της πρόβλεψης. Για τον υπολογισμό του Δείκτη χρησιμοποιείται ο ακόλουθος τύπος:</w:t>
      </w:r>
    </w:p>
    <w:p w14:paraId="0A099506" w14:textId="77777777" w:rsidR="00802C33" w:rsidRDefault="00802C33" w:rsidP="00802C33">
      <w:pPr>
        <w:jc w:val="both"/>
        <w:rPr>
          <w:rFonts w:cstheme="minorHAnsi"/>
          <w:bCs/>
          <w:lang w:eastAsia="ar-SA"/>
        </w:rPr>
      </w:pPr>
      <m:oMathPara>
        <m:oMath>
          <m:r>
            <w:rPr>
              <w:rFonts w:ascii="Cambria Math" w:hAnsi="Cambria Math" w:cstheme="minorHAnsi"/>
              <w:lang w:eastAsia="ar-SA"/>
            </w:rPr>
            <m:t xml:space="preserve">MdAPE=median </m:t>
          </m:r>
          <m:d>
            <m:dPr>
              <m:ctrlPr>
                <w:rPr>
                  <w:rFonts w:ascii="Cambria Math" w:hAnsi="Cambria Math" w:cstheme="minorHAnsi"/>
                  <w:bCs/>
                  <w:i/>
                  <w:lang w:eastAsia="ar-SA"/>
                </w:rPr>
              </m:ctrlPr>
            </m:dPr>
            <m:e>
              <m:d>
                <m:dPr>
                  <m:begChr m:val="|"/>
                  <m:endChr m:val="|"/>
                  <m:ctrlPr>
                    <w:rPr>
                      <w:rFonts w:ascii="Cambria Math" w:hAnsi="Cambria Math" w:cstheme="minorHAnsi"/>
                      <w:bCs/>
                      <w:i/>
                      <w:lang w:eastAsia="ar-SA"/>
                    </w:rPr>
                  </m:ctrlPr>
                </m:dPr>
                <m:e>
                  <m:f>
                    <m:fPr>
                      <m:ctrlPr>
                        <w:rPr>
                          <w:rFonts w:ascii="Cambria Math" w:hAnsi="Cambria Math" w:cstheme="minorHAnsi"/>
                          <w:bCs/>
                          <w:i/>
                          <w:lang w:eastAsia="ar-SA"/>
                        </w:rPr>
                      </m:ctrlPr>
                    </m:fPr>
                    <m:num>
                      <m:sSub>
                        <m:sSubPr>
                          <m:ctrlPr>
                            <w:rPr>
                              <w:rFonts w:ascii="Cambria Math" w:hAnsi="Cambria Math" w:cstheme="minorHAnsi"/>
                              <w:bCs/>
                              <w:i/>
                              <w:lang w:eastAsia="ar-SA"/>
                            </w:rPr>
                          </m:ctrlPr>
                        </m:sSubPr>
                        <m:e>
                          <m:r>
                            <w:rPr>
                              <w:rFonts w:ascii="Cambria Math" w:hAnsi="Cambria Math" w:cstheme="minorHAnsi"/>
                              <w:lang w:eastAsia="ar-SA"/>
                            </w:rPr>
                            <m:t>A</m:t>
                          </m:r>
                        </m:e>
                        <m:sub>
                          <m:r>
                            <w:rPr>
                              <w:rFonts w:ascii="Cambria Math" w:hAnsi="Cambria Math" w:cstheme="minorHAnsi"/>
                              <w:lang w:eastAsia="ar-SA"/>
                            </w:rPr>
                            <m:t>t</m:t>
                          </m:r>
                        </m:sub>
                      </m:sSub>
                      <m:r>
                        <w:rPr>
                          <w:rFonts w:ascii="Cambria Math" w:hAnsi="Cambria Math" w:cstheme="minorHAnsi"/>
                          <w:lang w:eastAsia="ar-SA"/>
                        </w:rPr>
                        <m:t>-</m:t>
                      </m:r>
                      <m:sSub>
                        <m:sSubPr>
                          <m:ctrlPr>
                            <w:rPr>
                              <w:rFonts w:ascii="Cambria Math" w:hAnsi="Cambria Math" w:cstheme="minorHAnsi"/>
                              <w:bCs/>
                              <w:i/>
                              <w:lang w:eastAsia="ar-SA"/>
                            </w:rPr>
                          </m:ctrlPr>
                        </m:sSubPr>
                        <m:e>
                          <m:r>
                            <w:rPr>
                              <w:rFonts w:ascii="Cambria Math" w:hAnsi="Cambria Math" w:cstheme="minorHAnsi"/>
                              <w:lang w:eastAsia="ar-SA"/>
                            </w:rPr>
                            <m:t>F</m:t>
                          </m:r>
                        </m:e>
                        <m:sub>
                          <m:r>
                            <w:rPr>
                              <w:rFonts w:ascii="Cambria Math" w:hAnsi="Cambria Math" w:cstheme="minorHAnsi"/>
                              <w:lang w:eastAsia="ar-SA"/>
                            </w:rPr>
                            <m:t>t</m:t>
                          </m:r>
                        </m:sub>
                      </m:sSub>
                    </m:num>
                    <m:den>
                      <m:sSub>
                        <m:sSubPr>
                          <m:ctrlPr>
                            <w:rPr>
                              <w:rFonts w:ascii="Cambria Math" w:hAnsi="Cambria Math" w:cstheme="minorHAnsi"/>
                              <w:bCs/>
                              <w:i/>
                              <w:lang w:eastAsia="ar-SA"/>
                            </w:rPr>
                          </m:ctrlPr>
                        </m:sSubPr>
                        <m:e>
                          <m:r>
                            <w:rPr>
                              <w:rFonts w:ascii="Cambria Math" w:hAnsi="Cambria Math" w:cstheme="minorHAnsi"/>
                              <w:lang w:eastAsia="ar-SA"/>
                            </w:rPr>
                            <m:t>A</m:t>
                          </m:r>
                        </m:e>
                        <m:sub>
                          <m:r>
                            <w:rPr>
                              <w:rFonts w:ascii="Cambria Math" w:hAnsi="Cambria Math" w:cstheme="minorHAnsi"/>
                              <w:lang w:eastAsia="ar-SA"/>
                            </w:rPr>
                            <m:t>t</m:t>
                          </m:r>
                        </m:sub>
                      </m:sSub>
                    </m:den>
                  </m:f>
                </m:e>
              </m:d>
            </m:e>
          </m:d>
          <m:r>
            <w:rPr>
              <w:rFonts w:ascii="Cambria Math" w:hAnsi="Cambria Math" w:cstheme="minorHAnsi"/>
              <w:lang w:eastAsia="ar-SA"/>
            </w:rPr>
            <m:t>*100</m:t>
          </m:r>
        </m:oMath>
      </m:oMathPara>
    </w:p>
    <w:p w14:paraId="2CA6B21D" w14:textId="77777777" w:rsidR="00802C33" w:rsidRPr="00D05969" w:rsidRDefault="00802C33" w:rsidP="00802C33">
      <w:pPr>
        <w:pStyle w:val="Basic"/>
        <w:rPr>
          <w:rFonts w:asciiTheme="minorHAnsi" w:hAnsiTheme="minorHAnsi" w:cstheme="minorHAnsi"/>
        </w:rPr>
      </w:pPr>
      <w:r w:rsidRPr="00D05969">
        <w:rPr>
          <w:rFonts w:asciiTheme="minorHAnsi" w:hAnsiTheme="minorHAnsi" w:cstheme="minorHAnsi"/>
        </w:rPr>
        <w:t>Όπου:</w:t>
      </w:r>
    </w:p>
    <w:p w14:paraId="120BDF73" w14:textId="77777777" w:rsidR="00802C33" w:rsidRPr="00D05969" w:rsidRDefault="00802C33" w:rsidP="00802C33">
      <w:pPr>
        <w:pStyle w:val="Basic"/>
        <w:numPr>
          <w:ilvl w:val="0"/>
          <w:numId w:val="39"/>
        </w:numPr>
        <w:rPr>
          <w:rFonts w:asciiTheme="minorHAnsi" w:hAnsiTheme="minorHAnsi" w:cstheme="minorHAnsi"/>
          <w:i/>
        </w:rPr>
      </w:pPr>
      <w:r w:rsidRPr="00D05969">
        <w:rPr>
          <w:rFonts w:asciiTheme="minorHAnsi" w:hAnsiTheme="minorHAnsi" w:cstheme="minorHAnsi"/>
          <w:i/>
        </w:rPr>
        <w:t>Α</w:t>
      </w:r>
      <w:r w:rsidRPr="00D05969">
        <w:rPr>
          <w:rFonts w:asciiTheme="minorHAnsi" w:hAnsiTheme="minorHAnsi" w:cstheme="minorHAnsi"/>
          <w:i/>
          <w:vertAlign w:val="subscript"/>
          <w:lang w:val="en-US"/>
        </w:rPr>
        <w:t>t</w:t>
      </w:r>
      <w:r w:rsidRPr="00D05969">
        <w:rPr>
          <w:rFonts w:asciiTheme="minorHAnsi" w:hAnsiTheme="minorHAnsi" w:cstheme="minorHAnsi"/>
          <w:i/>
        </w:rPr>
        <w:t>: πραγματική τιμή</w:t>
      </w:r>
    </w:p>
    <w:p w14:paraId="6C87FB3E" w14:textId="77777777" w:rsidR="00802C33" w:rsidRPr="00D05969" w:rsidRDefault="00802C33" w:rsidP="00802C33">
      <w:pPr>
        <w:pStyle w:val="Basic"/>
        <w:numPr>
          <w:ilvl w:val="0"/>
          <w:numId w:val="39"/>
        </w:numPr>
        <w:rPr>
          <w:rFonts w:asciiTheme="minorHAnsi" w:hAnsiTheme="minorHAnsi" w:cstheme="minorHAnsi"/>
          <w:i/>
        </w:rPr>
      </w:pPr>
      <w:r w:rsidRPr="00D05969">
        <w:rPr>
          <w:rFonts w:asciiTheme="minorHAnsi" w:hAnsiTheme="minorHAnsi" w:cstheme="minorHAnsi"/>
          <w:i/>
          <w:lang w:val="en-US"/>
        </w:rPr>
        <w:t>F</w:t>
      </w:r>
      <w:r w:rsidRPr="00D05969">
        <w:rPr>
          <w:rFonts w:asciiTheme="minorHAnsi" w:hAnsiTheme="minorHAnsi" w:cstheme="minorHAnsi"/>
          <w:i/>
          <w:vertAlign w:val="subscript"/>
          <w:lang w:val="en-US"/>
        </w:rPr>
        <w:t>t</w:t>
      </w:r>
      <w:r w:rsidRPr="00D05969">
        <w:rPr>
          <w:rFonts w:asciiTheme="minorHAnsi" w:hAnsiTheme="minorHAnsi" w:cstheme="minorHAnsi"/>
          <w:i/>
        </w:rPr>
        <w:t xml:space="preserve">: τιμή πρόβλεψης </w:t>
      </w:r>
    </w:p>
    <w:p w14:paraId="37BE69C4" w14:textId="77777777" w:rsidR="00802C33" w:rsidRPr="00D05969" w:rsidRDefault="00802C33" w:rsidP="00802C33">
      <w:pPr>
        <w:pStyle w:val="Basic"/>
        <w:numPr>
          <w:ilvl w:val="0"/>
          <w:numId w:val="39"/>
        </w:numPr>
        <w:rPr>
          <w:rFonts w:asciiTheme="minorHAnsi" w:hAnsiTheme="minorHAnsi" w:cstheme="minorHAnsi"/>
          <w:i/>
        </w:rPr>
      </w:pPr>
      <w:r w:rsidRPr="00D05969">
        <w:rPr>
          <w:rFonts w:asciiTheme="minorHAnsi" w:hAnsiTheme="minorHAnsi" w:cstheme="minorHAnsi"/>
          <w:i/>
          <w:lang w:val="en-US"/>
        </w:rPr>
        <w:t>t</w:t>
      </w:r>
      <w:r w:rsidRPr="00D05969">
        <w:rPr>
          <w:rFonts w:asciiTheme="minorHAnsi" w:hAnsiTheme="minorHAnsi" w:cstheme="minorHAnsi"/>
          <w:i/>
        </w:rPr>
        <w:t>: χρονική περίοδος</w:t>
      </w:r>
    </w:p>
    <w:p w14:paraId="1EEC61F1" w14:textId="77777777" w:rsidR="0091648A" w:rsidRPr="00570B5C" w:rsidRDefault="00802C33" w:rsidP="0091648A">
      <w:pPr>
        <w:pStyle w:val="Basic"/>
        <w:numPr>
          <w:ilvl w:val="0"/>
          <w:numId w:val="39"/>
        </w:numPr>
        <w:rPr>
          <w:rFonts w:asciiTheme="minorHAnsi" w:hAnsiTheme="minorHAnsi" w:cstheme="minorHAnsi"/>
          <w:i/>
        </w:rPr>
      </w:pPr>
      <w:r w:rsidRPr="00D05969">
        <w:rPr>
          <w:rFonts w:asciiTheme="minorHAnsi" w:hAnsiTheme="minorHAnsi" w:cstheme="minorHAnsi"/>
          <w:i/>
          <w:lang w:val="en-US"/>
        </w:rPr>
        <w:lastRenderedPageBreak/>
        <w:t>n</w:t>
      </w:r>
      <w:r w:rsidRPr="00D05969">
        <w:rPr>
          <w:rFonts w:asciiTheme="minorHAnsi" w:hAnsiTheme="minorHAnsi" w:cstheme="minorHAnsi"/>
          <w:i/>
        </w:rPr>
        <w:t>: μέγεθος δείγματος</w:t>
      </w:r>
    </w:p>
    <w:p w14:paraId="6D7616F1" w14:textId="77777777" w:rsidR="00570B5C" w:rsidRPr="00570B5C" w:rsidRDefault="00570B5C" w:rsidP="00570B5C">
      <w:pPr>
        <w:pStyle w:val="Basic"/>
        <w:ind w:left="720"/>
        <w:rPr>
          <w:rFonts w:asciiTheme="minorHAnsi" w:hAnsiTheme="minorHAnsi" w:cstheme="minorHAnsi"/>
          <w:i/>
        </w:rPr>
      </w:pPr>
    </w:p>
    <w:p w14:paraId="665B04D3" w14:textId="77777777" w:rsidR="00FF0818" w:rsidRPr="00920754" w:rsidRDefault="0088305E" w:rsidP="00EB4D60">
      <w:pPr>
        <w:pStyle w:val="Default"/>
        <w:jc w:val="both"/>
        <w:rPr>
          <w:sz w:val="22"/>
          <w:szCs w:val="22"/>
          <w:lang w:val="el-GR"/>
        </w:rPr>
      </w:pPr>
      <w:r>
        <w:rPr>
          <w:rFonts w:ascii="Arial Black" w:hAnsi="Arial Black"/>
          <w:sz w:val="22"/>
          <w:szCs w:val="22"/>
          <w:lang w:val="el-GR"/>
        </w:rPr>
        <w:t>6</w:t>
      </w:r>
      <w:r w:rsidR="00D56D1A" w:rsidRPr="009A0A54">
        <w:rPr>
          <w:rFonts w:ascii="Arial Black" w:hAnsi="Arial Black"/>
          <w:sz w:val="22"/>
          <w:szCs w:val="22"/>
          <w:lang w:val="el-GR"/>
        </w:rPr>
        <w:t>.1.</w:t>
      </w:r>
      <w:r w:rsidR="00022EF3">
        <w:rPr>
          <w:rFonts w:ascii="Arial Black" w:hAnsi="Arial Black"/>
          <w:sz w:val="22"/>
          <w:szCs w:val="22"/>
          <w:lang w:val="el-GR"/>
        </w:rPr>
        <w:t>3</w:t>
      </w:r>
      <w:r w:rsidR="00D56D1A">
        <w:rPr>
          <w:sz w:val="22"/>
          <w:szCs w:val="22"/>
          <w:lang w:val="el-GR"/>
        </w:rPr>
        <w:t xml:space="preserve"> </w:t>
      </w:r>
      <w:r w:rsidR="00EB4D60" w:rsidRPr="00920754">
        <w:rPr>
          <w:sz w:val="22"/>
          <w:szCs w:val="22"/>
          <w:lang w:val="el-GR"/>
        </w:rPr>
        <w:t>Στον υπολογισμό των δεικτών</w:t>
      </w:r>
      <w:r w:rsidR="00802C33" w:rsidRPr="00920754">
        <w:rPr>
          <w:sz w:val="22"/>
          <w:szCs w:val="22"/>
          <w:lang w:val="el-GR"/>
        </w:rPr>
        <w:t xml:space="preserve"> σφάλματος πρόβλεψης</w:t>
      </w:r>
      <w:r w:rsidR="00EB4D60" w:rsidRPr="00920754">
        <w:rPr>
          <w:sz w:val="22"/>
          <w:szCs w:val="22"/>
          <w:lang w:val="el-GR"/>
        </w:rPr>
        <w:t xml:space="preserve"> συμμετέχουν</w:t>
      </w:r>
      <w:r w:rsidR="00695B7C">
        <w:rPr>
          <w:sz w:val="22"/>
          <w:szCs w:val="22"/>
          <w:lang w:val="el-GR"/>
        </w:rPr>
        <w:t xml:space="preserve"> </w:t>
      </w:r>
      <w:r w:rsidR="00EB4D60" w:rsidRPr="00920754">
        <w:rPr>
          <w:sz w:val="22"/>
          <w:szCs w:val="22"/>
          <w:lang w:val="el-GR"/>
        </w:rPr>
        <w:t>η πρόβλεψη ζήτησης Συστήματος και παραγωγής των ΑΠΕ</w:t>
      </w:r>
      <w:r w:rsidR="00EE669E" w:rsidRPr="00920754">
        <w:rPr>
          <w:sz w:val="22"/>
          <w:szCs w:val="22"/>
          <w:lang w:val="el-GR"/>
        </w:rPr>
        <w:t xml:space="preserve"> </w:t>
      </w:r>
      <w:r w:rsidR="00EB4D60" w:rsidRPr="00920754">
        <w:rPr>
          <w:sz w:val="22"/>
          <w:szCs w:val="22"/>
          <w:lang w:val="el-GR"/>
        </w:rPr>
        <w:t>Συστήματος</w:t>
      </w:r>
      <w:r w:rsidR="004E2925">
        <w:rPr>
          <w:sz w:val="22"/>
          <w:szCs w:val="22"/>
          <w:lang w:val="el-GR"/>
        </w:rPr>
        <w:t xml:space="preserve"> (</w:t>
      </w:r>
      <w:r w:rsidR="004E2925">
        <w:rPr>
          <w:sz w:val="22"/>
          <w:szCs w:val="22"/>
        </w:rPr>
        <w:t>MWh</w:t>
      </w:r>
      <w:r w:rsidR="004E2925" w:rsidRPr="004E2925">
        <w:rPr>
          <w:sz w:val="22"/>
          <w:szCs w:val="22"/>
          <w:lang w:val="el-GR"/>
        </w:rPr>
        <w:t>)</w:t>
      </w:r>
      <w:r w:rsidR="00EB4D60" w:rsidRPr="00920754">
        <w:rPr>
          <w:sz w:val="22"/>
          <w:szCs w:val="22"/>
          <w:lang w:val="el-GR"/>
        </w:rPr>
        <w:t>, όπως λαμβάνονται υπόψη για κάθε</w:t>
      </w:r>
      <w:r w:rsidR="00570B5C" w:rsidRPr="00570B5C">
        <w:rPr>
          <w:sz w:val="22"/>
          <w:szCs w:val="22"/>
          <w:lang w:val="el-GR"/>
        </w:rPr>
        <w:t xml:space="preserve"> 30</w:t>
      </w:r>
      <w:r w:rsidR="00570B5C">
        <w:rPr>
          <w:sz w:val="22"/>
          <w:szCs w:val="22"/>
          <w:lang w:val="el-GR"/>
        </w:rPr>
        <w:t>λεπτη</w:t>
      </w:r>
      <w:r w:rsidR="00EB4D60" w:rsidRPr="00920754">
        <w:rPr>
          <w:sz w:val="22"/>
          <w:szCs w:val="22"/>
          <w:lang w:val="el-GR"/>
        </w:rPr>
        <w:t xml:space="preserve"> περίοδο κατανομής </w:t>
      </w:r>
      <w:r w:rsidR="00920754" w:rsidRPr="00920754">
        <w:rPr>
          <w:sz w:val="22"/>
          <w:szCs w:val="22"/>
          <w:lang w:val="el-GR"/>
        </w:rPr>
        <w:t xml:space="preserve">α) </w:t>
      </w:r>
      <w:r w:rsidR="00EB4D60" w:rsidRPr="00920754">
        <w:rPr>
          <w:bCs/>
          <w:sz w:val="22"/>
          <w:szCs w:val="22"/>
          <w:lang w:val="el-GR"/>
        </w:rPr>
        <w:t xml:space="preserve">της </w:t>
      </w:r>
      <w:r w:rsidR="00EB4D60" w:rsidRPr="00920754">
        <w:rPr>
          <w:bCs/>
          <w:sz w:val="22"/>
          <w:szCs w:val="22"/>
        </w:rPr>
        <w:t>ISP</w:t>
      </w:r>
      <w:r w:rsidR="00EB4D60" w:rsidRPr="00920754">
        <w:rPr>
          <w:bCs/>
          <w:sz w:val="22"/>
          <w:szCs w:val="22"/>
          <w:lang w:val="el-GR"/>
        </w:rPr>
        <w:t xml:space="preserve">2, </w:t>
      </w:r>
      <w:r w:rsidR="00EB4D60" w:rsidRPr="00920754">
        <w:rPr>
          <w:b/>
          <w:sz w:val="22"/>
          <w:szCs w:val="22"/>
          <w:lang w:val="el-GR"/>
        </w:rPr>
        <w:t>για τις πρώτες 24 περιόδους κατανομής της ημέρας κατανομής, δηλαδή μεταξύ 00.00 και 11.30</w:t>
      </w:r>
      <w:r w:rsidR="00EB4D60" w:rsidRPr="00920754">
        <w:rPr>
          <w:sz w:val="22"/>
          <w:szCs w:val="22"/>
          <w:lang w:val="el-GR"/>
        </w:rPr>
        <w:t>, και</w:t>
      </w:r>
      <w:r w:rsidR="00920754" w:rsidRPr="00920754">
        <w:rPr>
          <w:sz w:val="22"/>
          <w:szCs w:val="22"/>
          <w:lang w:val="el-GR"/>
        </w:rPr>
        <w:t xml:space="preserve"> β)</w:t>
      </w:r>
      <w:r w:rsidR="00EB4D60" w:rsidRPr="00920754">
        <w:rPr>
          <w:sz w:val="22"/>
          <w:szCs w:val="22"/>
          <w:lang w:val="el-GR"/>
        </w:rPr>
        <w:t xml:space="preserve"> της </w:t>
      </w:r>
      <w:r w:rsidR="00EB4D60" w:rsidRPr="00920754">
        <w:rPr>
          <w:sz w:val="22"/>
          <w:szCs w:val="22"/>
        </w:rPr>
        <w:t>ISP</w:t>
      </w:r>
      <w:r w:rsidR="00EB4D60" w:rsidRPr="00920754">
        <w:rPr>
          <w:sz w:val="22"/>
          <w:szCs w:val="22"/>
          <w:lang w:val="el-GR"/>
        </w:rPr>
        <w:t xml:space="preserve">3 </w:t>
      </w:r>
      <w:r w:rsidR="00EB4D60" w:rsidRPr="00920754">
        <w:rPr>
          <w:b/>
          <w:sz w:val="22"/>
          <w:szCs w:val="22"/>
          <w:lang w:val="el-GR"/>
        </w:rPr>
        <w:t>για τις επόμενες 24 περιόδους κατανομής, δηλαδή μεταξύ 12.00 και 23.30</w:t>
      </w:r>
      <w:r w:rsidR="00EB4D60" w:rsidRPr="00920754">
        <w:rPr>
          <w:sz w:val="22"/>
          <w:szCs w:val="22"/>
          <w:lang w:val="el-GR"/>
        </w:rPr>
        <w:t xml:space="preserve">. </w:t>
      </w:r>
    </w:p>
    <w:p w14:paraId="4CD4F46F" w14:textId="77777777" w:rsidR="00FF0818" w:rsidRPr="00920754" w:rsidRDefault="00FF0818" w:rsidP="00EB4D60">
      <w:pPr>
        <w:pStyle w:val="Default"/>
        <w:jc w:val="both"/>
        <w:rPr>
          <w:sz w:val="22"/>
          <w:szCs w:val="22"/>
          <w:lang w:val="el-GR"/>
        </w:rPr>
      </w:pPr>
    </w:p>
    <w:p w14:paraId="20B221BD" w14:textId="77777777" w:rsidR="00EB4D60" w:rsidRPr="00920754" w:rsidRDefault="0088305E" w:rsidP="00EB4D60">
      <w:pPr>
        <w:pStyle w:val="Default"/>
        <w:jc w:val="both"/>
        <w:rPr>
          <w:bCs/>
          <w:sz w:val="22"/>
          <w:szCs w:val="22"/>
          <w:lang w:val="el-GR"/>
        </w:rPr>
      </w:pPr>
      <w:r>
        <w:rPr>
          <w:rFonts w:ascii="Arial Black" w:hAnsi="Arial Black"/>
          <w:b/>
          <w:bCs/>
          <w:sz w:val="22"/>
          <w:szCs w:val="22"/>
          <w:lang w:val="el-GR"/>
        </w:rPr>
        <w:t>6</w:t>
      </w:r>
      <w:r w:rsidR="00D56D1A" w:rsidRPr="009A0A54">
        <w:rPr>
          <w:rFonts w:ascii="Arial Black" w:hAnsi="Arial Black"/>
          <w:b/>
          <w:bCs/>
          <w:sz w:val="22"/>
          <w:szCs w:val="22"/>
          <w:lang w:val="el-GR"/>
        </w:rPr>
        <w:t>.1.</w:t>
      </w:r>
      <w:r w:rsidR="00920754">
        <w:rPr>
          <w:rFonts w:ascii="Arial Black" w:hAnsi="Arial Black"/>
          <w:b/>
          <w:bCs/>
          <w:sz w:val="22"/>
          <w:szCs w:val="22"/>
          <w:lang w:val="el-GR"/>
        </w:rPr>
        <w:t>4</w:t>
      </w:r>
      <w:r w:rsidR="00D56D1A">
        <w:rPr>
          <w:b/>
          <w:bCs/>
          <w:sz w:val="22"/>
          <w:szCs w:val="22"/>
          <w:lang w:val="el-GR"/>
        </w:rPr>
        <w:t xml:space="preserve"> </w:t>
      </w:r>
      <w:r w:rsidR="00EB4D60" w:rsidRPr="00920754">
        <w:rPr>
          <w:bCs/>
          <w:sz w:val="22"/>
          <w:szCs w:val="22"/>
          <w:lang w:val="el-GR"/>
        </w:rPr>
        <w:t xml:space="preserve">Για τις πραγματικές τιμές λαμβάνονται υπόψη μόνο πιστοποιημένες μετρήσεις. </w:t>
      </w:r>
      <w:r w:rsidR="00EB4D60" w:rsidRPr="00920754">
        <w:rPr>
          <w:b/>
          <w:bCs/>
          <w:sz w:val="22"/>
          <w:szCs w:val="22"/>
          <w:lang w:val="el-GR"/>
        </w:rPr>
        <w:t>Το μέγεθος δείγματος</w:t>
      </w:r>
      <w:r w:rsidR="00920754" w:rsidRPr="00920754">
        <w:rPr>
          <w:b/>
          <w:bCs/>
          <w:sz w:val="22"/>
          <w:szCs w:val="22"/>
          <w:lang w:val="el-GR"/>
        </w:rPr>
        <w:t xml:space="preserve"> «</w:t>
      </w:r>
      <w:r w:rsidR="00920754" w:rsidRPr="00920754">
        <w:rPr>
          <w:b/>
          <w:bCs/>
          <w:sz w:val="22"/>
          <w:szCs w:val="22"/>
        </w:rPr>
        <w:t>n</w:t>
      </w:r>
      <w:r w:rsidR="00920754" w:rsidRPr="00920754">
        <w:rPr>
          <w:b/>
          <w:bCs/>
          <w:sz w:val="22"/>
          <w:szCs w:val="22"/>
          <w:lang w:val="el-GR"/>
        </w:rPr>
        <w:t>»</w:t>
      </w:r>
      <w:r w:rsidR="00EB4D60" w:rsidRPr="00920754">
        <w:rPr>
          <w:b/>
          <w:bCs/>
          <w:sz w:val="22"/>
          <w:szCs w:val="22"/>
          <w:lang w:val="el-GR"/>
        </w:rPr>
        <w:t xml:space="preserve"> </w:t>
      </w:r>
      <w:r w:rsidR="00EB4D60" w:rsidRPr="00920754">
        <w:rPr>
          <w:bCs/>
          <w:sz w:val="22"/>
          <w:szCs w:val="22"/>
          <w:lang w:val="el-GR"/>
        </w:rPr>
        <w:t>εξαρτάται από την εξεταζόμενη χρονική περίοδο (ημέρα, μήνας, χρόνος, κλπ).</w:t>
      </w:r>
    </w:p>
    <w:p w14:paraId="6CC51A36" w14:textId="77777777" w:rsidR="00EB4D60" w:rsidRPr="00920754" w:rsidRDefault="00EB4D60" w:rsidP="00EB4D60">
      <w:pPr>
        <w:pStyle w:val="Default"/>
        <w:jc w:val="both"/>
        <w:rPr>
          <w:sz w:val="22"/>
          <w:szCs w:val="22"/>
          <w:lang w:val="el-GR"/>
        </w:rPr>
      </w:pPr>
    </w:p>
    <w:p w14:paraId="608B7F8D" w14:textId="77777777" w:rsidR="00FF0818" w:rsidRDefault="0088305E" w:rsidP="00EB4D60">
      <w:pPr>
        <w:pStyle w:val="Default"/>
        <w:jc w:val="both"/>
        <w:rPr>
          <w:sz w:val="22"/>
          <w:szCs w:val="22"/>
          <w:lang w:val="el-GR"/>
        </w:rPr>
      </w:pPr>
      <w:r>
        <w:rPr>
          <w:rFonts w:ascii="Arial Black" w:hAnsi="Arial Black"/>
          <w:sz w:val="22"/>
          <w:szCs w:val="22"/>
          <w:lang w:val="el-GR"/>
        </w:rPr>
        <w:t>6</w:t>
      </w:r>
      <w:r w:rsidR="00D56D1A" w:rsidRPr="009A0A54">
        <w:rPr>
          <w:rFonts w:ascii="Arial Black" w:hAnsi="Arial Black"/>
          <w:sz w:val="22"/>
          <w:szCs w:val="22"/>
          <w:lang w:val="el-GR"/>
        </w:rPr>
        <w:t>.1.</w:t>
      </w:r>
      <w:r w:rsidR="00920754">
        <w:rPr>
          <w:rFonts w:ascii="Arial Black" w:hAnsi="Arial Black"/>
          <w:sz w:val="22"/>
          <w:szCs w:val="22"/>
          <w:lang w:val="el-GR"/>
        </w:rPr>
        <w:t>5</w:t>
      </w:r>
      <w:r w:rsidR="00D56D1A">
        <w:rPr>
          <w:sz w:val="22"/>
          <w:szCs w:val="22"/>
          <w:lang w:val="el-GR"/>
        </w:rPr>
        <w:t xml:space="preserve"> </w:t>
      </w:r>
      <w:bookmarkStart w:id="24" w:name="_Hlk100753806"/>
      <w:r w:rsidR="00FF0818">
        <w:rPr>
          <w:sz w:val="22"/>
          <w:szCs w:val="22"/>
          <w:lang w:val="el-GR"/>
        </w:rPr>
        <w:t xml:space="preserve">Σε περίπτωση που χρειάστηκε η </w:t>
      </w:r>
      <w:r w:rsidR="008D2743">
        <w:rPr>
          <w:sz w:val="22"/>
          <w:szCs w:val="22"/>
          <w:lang w:val="el-GR"/>
        </w:rPr>
        <w:t>εκτέλεση</w:t>
      </w:r>
      <w:r w:rsidR="00FF0818">
        <w:rPr>
          <w:sz w:val="22"/>
          <w:szCs w:val="22"/>
          <w:lang w:val="el-GR"/>
        </w:rPr>
        <w:t xml:space="preserve"> </w:t>
      </w:r>
      <w:r w:rsidR="00FF0818">
        <w:rPr>
          <w:sz w:val="22"/>
          <w:szCs w:val="22"/>
        </w:rPr>
        <w:t>ad</w:t>
      </w:r>
      <w:r w:rsidR="00FF0818" w:rsidRPr="00FF0818">
        <w:rPr>
          <w:sz w:val="22"/>
          <w:szCs w:val="22"/>
          <w:lang w:val="el-GR"/>
        </w:rPr>
        <w:t>-</w:t>
      </w:r>
      <w:r w:rsidR="00FF0818">
        <w:rPr>
          <w:sz w:val="22"/>
          <w:szCs w:val="22"/>
        </w:rPr>
        <w:t>hoc</w:t>
      </w:r>
      <w:r w:rsidR="00FF0818" w:rsidRPr="00FF0818">
        <w:rPr>
          <w:sz w:val="22"/>
          <w:szCs w:val="22"/>
          <w:lang w:val="el-GR"/>
        </w:rPr>
        <w:t xml:space="preserve"> </w:t>
      </w:r>
      <w:r w:rsidR="00FF0818">
        <w:rPr>
          <w:sz w:val="22"/>
          <w:szCs w:val="22"/>
        </w:rPr>
        <w:t>ISP</w:t>
      </w:r>
      <w:r w:rsidR="00FF0818" w:rsidRPr="00FF0818">
        <w:rPr>
          <w:sz w:val="22"/>
          <w:szCs w:val="22"/>
          <w:lang w:val="el-GR"/>
        </w:rPr>
        <w:t xml:space="preserve"> </w:t>
      </w:r>
      <w:r w:rsidR="00FF0818">
        <w:rPr>
          <w:sz w:val="22"/>
          <w:szCs w:val="22"/>
          <w:lang w:val="el-GR"/>
        </w:rPr>
        <w:t xml:space="preserve">από τον ΑΔΜΗΕ, θα χρησιμοποιούνται ως τιμές πρόβλεψης για τον υπολογισμό των </w:t>
      </w:r>
      <w:r w:rsidR="00920754">
        <w:rPr>
          <w:sz w:val="22"/>
          <w:szCs w:val="22"/>
          <w:lang w:val="el-GR"/>
        </w:rPr>
        <w:t>δεικτών σφάλματος</w:t>
      </w:r>
      <w:r w:rsidR="00FF0818">
        <w:rPr>
          <w:sz w:val="22"/>
          <w:szCs w:val="22"/>
          <w:lang w:val="el-GR"/>
        </w:rPr>
        <w:t xml:space="preserve"> οι αντίστοιχες τιμές όπως προκύπτουν από αυτό.</w:t>
      </w:r>
    </w:p>
    <w:p w14:paraId="62A940D4" w14:textId="77777777" w:rsidR="004E2925" w:rsidRDefault="004E2925" w:rsidP="00EB4D60">
      <w:pPr>
        <w:pStyle w:val="Default"/>
        <w:jc w:val="both"/>
        <w:rPr>
          <w:sz w:val="22"/>
          <w:szCs w:val="22"/>
          <w:lang w:val="el-GR"/>
        </w:rPr>
      </w:pPr>
    </w:p>
    <w:p w14:paraId="1228E17B" w14:textId="77777777" w:rsidR="004E2925" w:rsidRDefault="004E2925" w:rsidP="00EB4D60">
      <w:pPr>
        <w:pStyle w:val="Default"/>
        <w:jc w:val="both"/>
        <w:rPr>
          <w:sz w:val="22"/>
          <w:szCs w:val="22"/>
          <w:lang w:val="el-GR"/>
        </w:rPr>
      </w:pPr>
      <w:r w:rsidRPr="004E2925">
        <w:rPr>
          <w:rFonts w:ascii="Arial Black" w:hAnsi="Arial Black"/>
          <w:sz w:val="22"/>
          <w:szCs w:val="22"/>
          <w:lang w:val="el-GR"/>
        </w:rPr>
        <w:t>6.1.6</w:t>
      </w:r>
      <w:r>
        <w:rPr>
          <w:sz w:val="22"/>
          <w:szCs w:val="22"/>
          <w:lang w:val="el-GR"/>
        </w:rPr>
        <w:t xml:space="preserve"> Οι δείκτες σφάλματος πρόβλεψης παραγωγής των ΑΠΕ Συστήματος θα υπολογίζονται και θα παρουσιάζονται διακριτά για αιολικά και Φ/Β.</w:t>
      </w:r>
    </w:p>
    <w:bookmarkEnd w:id="24"/>
    <w:p w14:paraId="455EE4B4" w14:textId="77777777" w:rsidR="00EB4D60" w:rsidRDefault="00EB4D60" w:rsidP="00EB4D60">
      <w:pPr>
        <w:pStyle w:val="Default"/>
        <w:jc w:val="both"/>
        <w:rPr>
          <w:sz w:val="22"/>
          <w:szCs w:val="22"/>
          <w:lang w:val="el-GR"/>
        </w:rPr>
      </w:pPr>
    </w:p>
    <w:p w14:paraId="6478AFFF" w14:textId="77777777" w:rsidR="008D2743" w:rsidRDefault="008D2743" w:rsidP="008D2743">
      <w:pPr>
        <w:pStyle w:val="Default"/>
        <w:jc w:val="both"/>
        <w:rPr>
          <w:sz w:val="22"/>
          <w:szCs w:val="22"/>
          <w:lang w:val="el-GR"/>
        </w:rPr>
      </w:pPr>
      <w:r w:rsidRPr="008D2743">
        <w:rPr>
          <w:rFonts w:ascii="Arial Black" w:hAnsi="Arial Black"/>
          <w:sz w:val="22"/>
          <w:szCs w:val="22"/>
          <w:lang w:val="el-GR"/>
        </w:rPr>
        <w:t>6.1.</w:t>
      </w:r>
      <w:r w:rsidR="004E2925">
        <w:rPr>
          <w:rFonts w:ascii="Arial Black" w:hAnsi="Arial Black"/>
          <w:sz w:val="22"/>
          <w:szCs w:val="22"/>
          <w:lang w:val="el-GR"/>
        </w:rPr>
        <w:t>7</w:t>
      </w:r>
      <w:r w:rsidR="004E2925">
        <w:rPr>
          <w:sz w:val="22"/>
          <w:szCs w:val="22"/>
          <w:lang w:val="el-GR"/>
        </w:rPr>
        <w:t xml:space="preserve"> </w:t>
      </w:r>
      <w:r w:rsidR="00FF0818" w:rsidRPr="0031768D">
        <w:rPr>
          <w:sz w:val="22"/>
          <w:szCs w:val="22"/>
          <w:lang w:val="el-GR"/>
        </w:rPr>
        <w:t>Ο Διαχειριστής του Συστήματος</w:t>
      </w:r>
      <w:r>
        <w:rPr>
          <w:sz w:val="22"/>
          <w:szCs w:val="22"/>
          <w:lang w:val="el-GR"/>
        </w:rPr>
        <w:t xml:space="preserve"> θα υπολογίζει τις 30λεπτες </w:t>
      </w:r>
      <w:r w:rsidRPr="0031768D">
        <w:rPr>
          <w:sz w:val="22"/>
          <w:szCs w:val="22"/>
          <w:lang w:val="el-GR"/>
        </w:rPr>
        <w:t xml:space="preserve">τιμές των </w:t>
      </w:r>
      <w:r>
        <w:rPr>
          <w:sz w:val="22"/>
          <w:szCs w:val="22"/>
          <w:lang w:val="el-GR"/>
        </w:rPr>
        <w:t xml:space="preserve">προαναφερόμενων </w:t>
      </w:r>
      <w:r w:rsidRPr="0031768D">
        <w:rPr>
          <w:sz w:val="22"/>
          <w:szCs w:val="22"/>
          <w:lang w:val="el-GR"/>
        </w:rPr>
        <w:t>δεικτών σφάλματος για την ακρίβεια πρόβλεψης ζήτησης του Συστήματος και παραγωγής των ΑΠΕ</w:t>
      </w:r>
      <w:r>
        <w:rPr>
          <w:sz w:val="22"/>
          <w:szCs w:val="22"/>
          <w:lang w:val="el-GR"/>
        </w:rPr>
        <w:t xml:space="preserve"> </w:t>
      </w:r>
      <w:r w:rsidRPr="0031768D">
        <w:rPr>
          <w:sz w:val="22"/>
          <w:szCs w:val="22"/>
          <w:lang w:val="el-GR"/>
        </w:rPr>
        <w:t xml:space="preserve">Συστήματος, που προκύπτουν ανά </w:t>
      </w:r>
      <w:r>
        <w:rPr>
          <w:sz w:val="22"/>
          <w:szCs w:val="22"/>
          <w:lang w:val="el-GR"/>
        </w:rPr>
        <w:t>ημέρα και ανά μήνα</w:t>
      </w:r>
      <w:r w:rsidR="00EB2DD4">
        <w:rPr>
          <w:sz w:val="22"/>
          <w:szCs w:val="22"/>
          <w:lang w:val="el-GR"/>
        </w:rPr>
        <w:t xml:space="preserve"> του έτους αναφοράς </w:t>
      </w:r>
      <w:r w:rsidR="00EB2DD4" w:rsidRPr="00EB2DD4">
        <w:rPr>
          <w:sz w:val="22"/>
          <w:szCs w:val="22"/>
          <w:lang w:val="el-GR"/>
        </w:rPr>
        <w:sym w:font="Wingdings" w:char="F0E0"/>
      </w:r>
      <w:r w:rsidR="00EB2DD4">
        <w:rPr>
          <w:sz w:val="22"/>
          <w:szCs w:val="22"/>
          <w:lang w:val="el-GR"/>
        </w:rPr>
        <w:t xml:space="preserve"> </w:t>
      </w:r>
      <w:r w:rsidRPr="0031768D">
        <w:rPr>
          <w:sz w:val="22"/>
          <w:szCs w:val="22"/>
          <w:lang w:val="el-GR"/>
        </w:rPr>
        <w:t>Δηλαδή στ</w:t>
      </w:r>
      <w:r>
        <w:rPr>
          <w:sz w:val="22"/>
          <w:szCs w:val="22"/>
          <w:lang w:val="el-GR"/>
        </w:rPr>
        <w:t>ο πλαίσιο</w:t>
      </w:r>
      <w:r w:rsidRPr="0031768D">
        <w:rPr>
          <w:sz w:val="22"/>
          <w:szCs w:val="22"/>
          <w:lang w:val="el-GR"/>
        </w:rPr>
        <w:t xml:space="preserve"> του υπολογισμού, </w:t>
      </w:r>
      <w:r>
        <w:rPr>
          <w:b/>
          <w:bCs/>
          <w:sz w:val="22"/>
          <w:szCs w:val="22"/>
          <w:lang w:val="el-GR"/>
        </w:rPr>
        <w:t>ως μέγεθος δείγματος ορίζεται μία περίοδος κατανομής (n=1</w:t>
      </w:r>
      <w:r w:rsidRPr="00EE669E">
        <w:rPr>
          <w:b/>
          <w:bCs/>
          <w:sz w:val="22"/>
          <w:szCs w:val="22"/>
          <w:lang w:val="el-GR"/>
        </w:rPr>
        <w:t xml:space="preserve">), και </w:t>
      </w:r>
      <w:r>
        <w:rPr>
          <w:b/>
          <w:bCs/>
          <w:sz w:val="22"/>
          <w:szCs w:val="22"/>
          <w:lang w:val="el-GR"/>
        </w:rPr>
        <w:t>επομένως</w:t>
      </w:r>
      <w:r w:rsidRPr="00EE669E">
        <w:rPr>
          <w:b/>
          <w:bCs/>
          <w:sz w:val="22"/>
          <w:szCs w:val="22"/>
          <w:lang w:val="el-GR"/>
        </w:rPr>
        <w:t xml:space="preserve"> για κάθε </w:t>
      </w:r>
      <w:r>
        <w:rPr>
          <w:b/>
          <w:bCs/>
          <w:sz w:val="22"/>
          <w:szCs w:val="22"/>
          <w:lang w:val="el-GR"/>
        </w:rPr>
        <w:t>ημέρα κατανομής θα προκύπτουν 48</w:t>
      </w:r>
      <w:r w:rsidRPr="00EE669E">
        <w:rPr>
          <w:b/>
          <w:bCs/>
          <w:sz w:val="22"/>
          <w:szCs w:val="22"/>
          <w:lang w:val="el-GR"/>
        </w:rPr>
        <w:t xml:space="preserve"> τιμές</w:t>
      </w:r>
      <w:r>
        <w:rPr>
          <w:b/>
          <w:bCs/>
          <w:sz w:val="22"/>
          <w:szCs w:val="22"/>
          <w:lang w:val="el-GR"/>
        </w:rPr>
        <w:t xml:space="preserve"> (30λεπτες)</w:t>
      </w:r>
      <w:r w:rsidRPr="00EE669E">
        <w:rPr>
          <w:b/>
          <w:bCs/>
          <w:sz w:val="22"/>
          <w:szCs w:val="22"/>
          <w:lang w:val="el-GR"/>
        </w:rPr>
        <w:t xml:space="preserve"> του δείκτη σφάλματος</w:t>
      </w:r>
      <w:r>
        <w:rPr>
          <w:b/>
          <w:bCs/>
          <w:sz w:val="22"/>
          <w:szCs w:val="22"/>
          <w:lang w:val="el-GR"/>
        </w:rPr>
        <w:t>.</w:t>
      </w:r>
    </w:p>
    <w:p w14:paraId="0504A4FA" w14:textId="77777777" w:rsidR="00D20BF5" w:rsidRDefault="00D20BF5" w:rsidP="0031768D">
      <w:pPr>
        <w:pStyle w:val="Default"/>
        <w:jc w:val="both"/>
        <w:rPr>
          <w:b/>
          <w:bCs/>
          <w:sz w:val="22"/>
          <w:szCs w:val="22"/>
          <w:lang w:val="el-GR"/>
        </w:rPr>
      </w:pPr>
    </w:p>
    <w:p w14:paraId="1E39CE68" w14:textId="77777777" w:rsidR="006D22B1" w:rsidRPr="00570B5C" w:rsidRDefault="00EB2DD4" w:rsidP="00570B5C">
      <w:pPr>
        <w:pStyle w:val="Default"/>
        <w:jc w:val="both"/>
        <w:rPr>
          <w:sz w:val="22"/>
          <w:szCs w:val="22"/>
          <w:lang w:val="el-GR"/>
        </w:rPr>
      </w:pPr>
      <w:r>
        <w:rPr>
          <w:sz w:val="22"/>
          <w:szCs w:val="22"/>
          <w:lang w:val="el-GR"/>
        </w:rPr>
        <w:t xml:space="preserve">Λαμβάνοντας υπόψη όλες τις </w:t>
      </w:r>
      <w:r w:rsidR="004E2925">
        <w:rPr>
          <w:sz w:val="22"/>
          <w:szCs w:val="22"/>
          <w:lang w:val="el-GR"/>
        </w:rPr>
        <w:t>(</w:t>
      </w:r>
      <w:r>
        <w:rPr>
          <w:sz w:val="22"/>
          <w:szCs w:val="22"/>
          <w:lang w:val="el-GR"/>
        </w:rPr>
        <w:t>48</w:t>
      </w:r>
      <w:r w:rsidR="004E2925">
        <w:rPr>
          <w:sz w:val="22"/>
          <w:szCs w:val="22"/>
          <w:lang w:val="el-GR"/>
        </w:rPr>
        <w:t>)</w:t>
      </w:r>
      <w:r>
        <w:rPr>
          <w:sz w:val="22"/>
          <w:szCs w:val="22"/>
          <w:lang w:val="el-GR"/>
        </w:rPr>
        <w:t xml:space="preserve"> </w:t>
      </w:r>
      <w:r w:rsidRPr="00EB2DD4">
        <w:rPr>
          <w:sz w:val="22"/>
          <w:szCs w:val="22"/>
          <w:u w:val="single"/>
          <w:lang w:val="el-GR"/>
        </w:rPr>
        <w:t>30λεπ</w:t>
      </w:r>
      <w:r>
        <w:rPr>
          <w:sz w:val="22"/>
          <w:szCs w:val="22"/>
          <w:u w:val="single"/>
          <w:lang w:val="el-GR"/>
        </w:rPr>
        <w:t>τες</w:t>
      </w:r>
      <w:r w:rsidRPr="00EB2DD4">
        <w:rPr>
          <w:sz w:val="22"/>
          <w:szCs w:val="22"/>
          <w:u w:val="single"/>
          <w:lang w:val="el-GR"/>
        </w:rPr>
        <w:t xml:space="preserve"> τιμ</w:t>
      </w:r>
      <w:r>
        <w:rPr>
          <w:sz w:val="22"/>
          <w:szCs w:val="22"/>
          <w:u w:val="single"/>
          <w:lang w:val="el-GR"/>
        </w:rPr>
        <w:t>ές</w:t>
      </w:r>
      <w:r>
        <w:rPr>
          <w:sz w:val="22"/>
          <w:szCs w:val="22"/>
          <w:lang w:val="el-GR"/>
        </w:rPr>
        <w:t xml:space="preserve"> τ</w:t>
      </w:r>
      <w:r w:rsidR="00570B5C">
        <w:rPr>
          <w:sz w:val="22"/>
          <w:szCs w:val="22"/>
          <w:lang w:val="el-GR"/>
        </w:rPr>
        <w:t>ων δεικτών σφάλματος πρόβλεψης ζ</w:t>
      </w:r>
      <w:r>
        <w:rPr>
          <w:sz w:val="22"/>
          <w:szCs w:val="22"/>
          <w:lang w:val="el-GR"/>
        </w:rPr>
        <w:t>ήτησης Συστήματος και παραγωγής των ΑΠΕ Συστήματος, που θα υπολογίζει ο</w:t>
      </w:r>
      <w:r w:rsidR="00D20BF5" w:rsidRPr="0031768D">
        <w:rPr>
          <w:sz w:val="22"/>
          <w:szCs w:val="22"/>
          <w:lang w:val="el-GR"/>
        </w:rPr>
        <w:t xml:space="preserve"> Διαχειριστής του Συστήματος</w:t>
      </w:r>
      <w:r>
        <w:rPr>
          <w:sz w:val="22"/>
          <w:szCs w:val="22"/>
          <w:lang w:val="el-GR"/>
        </w:rPr>
        <w:t xml:space="preserve"> για κάθε ημέρα κατανομής,</w:t>
      </w:r>
      <w:r w:rsidR="00D20BF5" w:rsidRPr="0031768D">
        <w:rPr>
          <w:sz w:val="22"/>
          <w:szCs w:val="22"/>
          <w:lang w:val="el-GR"/>
        </w:rPr>
        <w:t xml:space="preserve"> θα</w:t>
      </w:r>
      <w:r>
        <w:rPr>
          <w:sz w:val="22"/>
          <w:szCs w:val="22"/>
          <w:lang w:val="el-GR"/>
        </w:rPr>
        <w:t xml:space="preserve"> υπολογίζει και θα</w:t>
      </w:r>
      <w:r w:rsidR="00D20BF5" w:rsidRPr="0031768D">
        <w:rPr>
          <w:sz w:val="22"/>
          <w:szCs w:val="22"/>
          <w:lang w:val="el-GR"/>
        </w:rPr>
        <w:t xml:space="preserve"> </w:t>
      </w:r>
      <w:r w:rsidR="008D2743">
        <w:rPr>
          <w:sz w:val="22"/>
          <w:szCs w:val="22"/>
          <w:lang w:val="el-GR"/>
        </w:rPr>
        <w:t>αναπαριστά</w:t>
      </w:r>
      <w:r w:rsidR="00D20BF5" w:rsidRPr="0031768D">
        <w:rPr>
          <w:sz w:val="22"/>
          <w:szCs w:val="22"/>
          <w:lang w:val="el-GR"/>
        </w:rPr>
        <w:t xml:space="preserve"> γραφικά στην έκθεση του</w:t>
      </w:r>
      <w:r w:rsidR="006D22B1" w:rsidRPr="006D22B1">
        <w:rPr>
          <w:sz w:val="22"/>
          <w:szCs w:val="22"/>
          <w:lang w:val="el-GR"/>
        </w:rPr>
        <w:t>:</w:t>
      </w:r>
      <w:r w:rsidR="00D20BF5" w:rsidRPr="0031768D">
        <w:rPr>
          <w:sz w:val="22"/>
          <w:szCs w:val="22"/>
          <w:lang w:val="el-GR"/>
        </w:rPr>
        <w:t xml:space="preserve"> </w:t>
      </w:r>
    </w:p>
    <w:p w14:paraId="2AB03F7A" w14:textId="77777777" w:rsidR="00772231" w:rsidRPr="00570B5C" w:rsidRDefault="00772231" w:rsidP="00570B5C">
      <w:pPr>
        <w:pStyle w:val="Default"/>
        <w:jc w:val="both"/>
        <w:rPr>
          <w:sz w:val="22"/>
          <w:szCs w:val="22"/>
          <w:lang w:val="el-GR"/>
        </w:rPr>
      </w:pPr>
    </w:p>
    <w:p w14:paraId="4680010A" w14:textId="77777777" w:rsidR="00EB2DD4" w:rsidRPr="00570B5C" w:rsidRDefault="00EB2DD4" w:rsidP="00570B5C">
      <w:pPr>
        <w:pStyle w:val="Default"/>
        <w:numPr>
          <w:ilvl w:val="0"/>
          <w:numId w:val="49"/>
        </w:numPr>
        <w:jc w:val="both"/>
        <w:rPr>
          <w:b/>
          <w:sz w:val="22"/>
          <w:szCs w:val="22"/>
          <w:lang w:val="el-GR"/>
        </w:rPr>
      </w:pPr>
      <w:r w:rsidRPr="00570B5C">
        <w:rPr>
          <w:b/>
          <w:sz w:val="22"/>
          <w:szCs w:val="22"/>
          <w:lang w:val="el-GR"/>
        </w:rPr>
        <w:t>Τη μέση τιμή αυτών</w:t>
      </w:r>
      <w:r w:rsidR="006D22B1" w:rsidRPr="00570B5C">
        <w:rPr>
          <w:b/>
          <w:sz w:val="22"/>
          <w:szCs w:val="22"/>
          <w:lang w:val="el-GR"/>
        </w:rPr>
        <w:t xml:space="preserve"> ανά ημέρα κατανομής</w:t>
      </w:r>
      <w:r w:rsidR="00772231" w:rsidRPr="00570B5C">
        <w:rPr>
          <w:b/>
          <w:sz w:val="22"/>
          <w:szCs w:val="22"/>
          <w:lang w:val="el-GR"/>
        </w:rPr>
        <w:t>,</w:t>
      </w:r>
    </w:p>
    <w:p w14:paraId="37B4AEAE" w14:textId="77777777" w:rsidR="00EB2DD4" w:rsidRPr="00570B5C" w:rsidRDefault="00EB2DD4" w:rsidP="00570B5C">
      <w:pPr>
        <w:pStyle w:val="Default"/>
        <w:numPr>
          <w:ilvl w:val="0"/>
          <w:numId w:val="49"/>
        </w:numPr>
        <w:jc w:val="both"/>
        <w:rPr>
          <w:b/>
          <w:sz w:val="22"/>
          <w:szCs w:val="22"/>
          <w:lang w:val="el-GR"/>
        </w:rPr>
      </w:pPr>
      <w:r w:rsidRPr="00570B5C">
        <w:rPr>
          <w:b/>
          <w:sz w:val="22"/>
          <w:szCs w:val="22"/>
          <w:lang w:val="el-GR"/>
        </w:rPr>
        <w:t xml:space="preserve">Τη μέγιστη τιμή αυτών </w:t>
      </w:r>
      <w:r w:rsidR="006D22B1" w:rsidRPr="00570B5C">
        <w:rPr>
          <w:b/>
          <w:sz w:val="22"/>
          <w:szCs w:val="22"/>
          <w:lang w:val="el-GR"/>
        </w:rPr>
        <w:t>ανά ημέρα κατανομής</w:t>
      </w:r>
    </w:p>
    <w:p w14:paraId="299E1F15" w14:textId="77777777" w:rsidR="00EB2DD4" w:rsidRDefault="00EB2DD4" w:rsidP="00EB2DD4">
      <w:pPr>
        <w:pStyle w:val="Default"/>
        <w:jc w:val="both"/>
        <w:rPr>
          <w:sz w:val="22"/>
          <w:szCs w:val="22"/>
          <w:lang w:val="el-GR"/>
        </w:rPr>
      </w:pPr>
    </w:p>
    <w:p w14:paraId="321B2240" w14:textId="77777777" w:rsidR="00570B5C" w:rsidRDefault="000746C0" w:rsidP="000F63A5">
      <w:pPr>
        <w:pStyle w:val="Default"/>
        <w:jc w:val="both"/>
        <w:rPr>
          <w:b/>
          <w:bCs/>
          <w:color w:val="auto"/>
          <w:lang w:val="el-GR"/>
        </w:rPr>
      </w:pPr>
      <w:r w:rsidRPr="000F63A5">
        <w:rPr>
          <w:rFonts w:ascii="Arial Black" w:hAnsi="Arial Black"/>
          <w:sz w:val="22"/>
          <w:szCs w:val="22"/>
          <w:lang w:val="el-GR"/>
        </w:rPr>
        <w:t>6.1.8</w:t>
      </w:r>
      <w:r>
        <w:rPr>
          <w:sz w:val="22"/>
          <w:szCs w:val="22"/>
          <w:lang w:val="el-GR"/>
        </w:rPr>
        <w:t xml:space="preserve"> </w:t>
      </w:r>
      <w:r w:rsidRPr="0031768D">
        <w:rPr>
          <w:sz w:val="22"/>
          <w:szCs w:val="22"/>
          <w:lang w:val="el-GR"/>
        </w:rPr>
        <w:t>Ο Διαχειριστής του Συστήματος</w:t>
      </w:r>
      <w:r>
        <w:rPr>
          <w:sz w:val="22"/>
          <w:szCs w:val="22"/>
          <w:lang w:val="el-GR"/>
        </w:rPr>
        <w:t xml:space="preserve"> θα υπολογίζει</w:t>
      </w:r>
      <w:r w:rsidR="000F63A5">
        <w:rPr>
          <w:sz w:val="22"/>
          <w:szCs w:val="22"/>
          <w:lang w:val="el-GR"/>
        </w:rPr>
        <w:t xml:space="preserve"> και θα αναπαριστά γραφικά στην ετήσια έκθεση του,</w:t>
      </w:r>
      <w:r>
        <w:rPr>
          <w:sz w:val="22"/>
          <w:szCs w:val="22"/>
          <w:lang w:val="el-GR"/>
        </w:rPr>
        <w:t xml:space="preserve"> τις </w:t>
      </w:r>
      <w:r w:rsidR="000F63A5">
        <w:rPr>
          <w:sz w:val="22"/>
          <w:szCs w:val="22"/>
          <w:lang w:val="el-GR"/>
        </w:rPr>
        <w:t>ημερήσιες</w:t>
      </w:r>
      <w:r>
        <w:rPr>
          <w:sz w:val="22"/>
          <w:szCs w:val="22"/>
          <w:lang w:val="el-GR"/>
        </w:rPr>
        <w:t xml:space="preserve"> </w:t>
      </w:r>
      <w:r w:rsidRPr="0031768D">
        <w:rPr>
          <w:sz w:val="22"/>
          <w:szCs w:val="22"/>
          <w:lang w:val="el-GR"/>
        </w:rPr>
        <w:t xml:space="preserve">τιμές των </w:t>
      </w:r>
      <w:r>
        <w:rPr>
          <w:sz w:val="22"/>
          <w:szCs w:val="22"/>
          <w:lang w:val="el-GR"/>
        </w:rPr>
        <w:t xml:space="preserve">προαναφερόμενων </w:t>
      </w:r>
      <w:r w:rsidRPr="0031768D">
        <w:rPr>
          <w:sz w:val="22"/>
          <w:szCs w:val="22"/>
          <w:lang w:val="el-GR"/>
        </w:rPr>
        <w:t>δεικτών σφάλματος για την ακρίβεια πρόβλεψης ζήτησης του Συστήματος και παραγωγής των ΑΠΕ</w:t>
      </w:r>
      <w:r>
        <w:rPr>
          <w:sz w:val="22"/>
          <w:szCs w:val="22"/>
          <w:lang w:val="el-GR"/>
        </w:rPr>
        <w:t xml:space="preserve"> </w:t>
      </w:r>
      <w:r w:rsidRPr="0031768D">
        <w:rPr>
          <w:sz w:val="22"/>
          <w:szCs w:val="22"/>
          <w:lang w:val="el-GR"/>
        </w:rPr>
        <w:t xml:space="preserve">Συστήματος, που προκύπτουν ανά </w:t>
      </w:r>
      <w:r>
        <w:rPr>
          <w:sz w:val="22"/>
          <w:szCs w:val="22"/>
          <w:lang w:val="el-GR"/>
        </w:rPr>
        <w:t xml:space="preserve">ημέρα και ανά μήνα του έτους αναφοράς </w:t>
      </w:r>
      <w:r w:rsidRPr="00EB2DD4">
        <w:rPr>
          <w:sz w:val="22"/>
          <w:szCs w:val="22"/>
          <w:lang w:val="el-GR"/>
        </w:rPr>
        <w:sym w:font="Wingdings" w:char="F0E0"/>
      </w:r>
      <w:r>
        <w:rPr>
          <w:sz w:val="22"/>
          <w:szCs w:val="22"/>
          <w:lang w:val="el-GR"/>
        </w:rPr>
        <w:t xml:space="preserve"> </w:t>
      </w:r>
      <w:r w:rsidRPr="0031768D">
        <w:rPr>
          <w:sz w:val="22"/>
          <w:szCs w:val="22"/>
          <w:lang w:val="el-GR"/>
        </w:rPr>
        <w:t>Δηλαδή στ</w:t>
      </w:r>
      <w:r>
        <w:rPr>
          <w:sz w:val="22"/>
          <w:szCs w:val="22"/>
          <w:lang w:val="el-GR"/>
        </w:rPr>
        <w:t>ο πλαίσιο</w:t>
      </w:r>
      <w:r w:rsidRPr="0031768D">
        <w:rPr>
          <w:sz w:val="22"/>
          <w:szCs w:val="22"/>
          <w:lang w:val="el-GR"/>
        </w:rPr>
        <w:t xml:space="preserve"> του υπολογισμού, </w:t>
      </w:r>
      <w:r>
        <w:rPr>
          <w:b/>
          <w:bCs/>
          <w:sz w:val="22"/>
          <w:szCs w:val="22"/>
          <w:lang w:val="el-GR"/>
        </w:rPr>
        <w:t>ως μέγεθος δείγματος ορίζ</w:t>
      </w:r>
      <w:r w:rsidR="000F63A5">
        <w:rPr>
          <w:b/>
          <w:bCs/>
          <w:sz w:val="22"/>
          <w:szCs w:val="22"/>
          <w:lang w:val="el-GR"/>
        </w:rPr>
        <w:t xml:space="preserve">ονται 48 30λεπτες </w:t>
      </w:r>
      <w:r>
        <w:rPr>
          <w:b/>
          <w:bCs/>
          <w:sz w:val="22"/>
          <w:szCs w:val="22"/>
          <w:lang w:val="el-GR"/>
        </w:rPr>
        <w:t>περίοδο</w:t>
      </w:r>
      <w:r w:rsidR="000F63A5">
        <w:rPr>
          <w:b/>
          <w:bCs/>
          <w:sz w:val="22"/>
          <w:szCs w:val="22"/>
          <w:lang w:val="el-GR"/>
        </w:rPr>
        <w:t>ι</w:t>
      </w:r>
      <w:r>
        <w:rPr>
          <w:b/>
          <w:bCs/>
          <w:sz w:val="22"/>
          <w:szCs w:val="22"/>
          <w:lang w:val="el-GR"/>
        </w:rPr>
        <w:t xml:space="preserve"> κατανομής (n=</w:t>
      </w:r>
      <w:r w:rsidR="000F63A5">
        <w:rPr>
          <w:b/>
          <w:bCs/>
          <w:sz w:val="22"/>
          <w:szCs w:val="22"/>
          <w:lang w:val="el-GR"/>
        </w:rPr>
        <w:t>48</w:t>
      </w:r>
      <w:r w:rsidRPr="00EE669E">
        <w:rPr>
          <w:b/>
          <w:bCs/>
          <w:sz w:val="22"/>
          <w:szCs w:val="22"/>
          <w:lang w:val="el-GR"/>
        </w:rPr>
        <w:t xml:space="preserve">), και </w:t>
      </w:r>
      <w:r>
        <w:rPr>
          <w:b/>
          <w:bCs/>
          <w:sz w:val="22"/>
          <w:szCs w:val="22"/>
          <w:lang w:val="el-GR"/>
        </w:rPr>
        <w:t>επομένως</w:t>
      </w:r>
      <w:r w:rsidRPr="00EE669E">
        <w:rPr>
          <w:b/>
          <w:bCs/>
          <w:sz w:val="22"/>
          <w:szCs w:val="22"/>
          <w:lang w:val="el-GR"/>
        </w:rPr>
        <w:t xml:space="preserve"> για κάθε </w:t>
      </w:r>
      <w:r>
        <w:rPr>
          <w:b/>
          <w:bCs/>
          <w:sz w:val="22"/>
          <w:szCs w:val="22"/>
          <w:lang w:val="el-GR"/>
        </w:rPr>
        <w:t xml:space="preserve">ημέρα κατανομής θα </w:t>
      </w:r>
      <w:r w:rsidR="000F63A5">
        <w:rPr>
          <w:b/>
          <w:bCs/>
          <w:sz w:val="22"/>
          <w:szCs w:val="22"/>
          <w:lang w:val="el-GR"/>
        </w:rPr>
        <w:t>προκύπτει μία τιμή</w:t>
      </w:r>
      <w:r w:rsidRPr="00EE669E">
        <w:rPr>
          <w:b/>
          <w:bCs/>
          <w:sz w:val="22"/>
          <w:szCs w:val="22"/>
          <w:lang w:val="el-GR"/>
        </w:rPr>
        <w:t xml:space="preserve"> του δείκτη σφάλματος</w:t>
      </w:r>
      <w:r>
        <w:rPr>
          <w:b/>
          <w:bCs/>
          <w:sz w:val="22"/>
          <w:szCs w:val="22"/>
          <w:lang w:val="el-GR"/>
        </w:rPr>
        <w:t>.</w:t>
      </w:r>
    </w:p>
    <w:p w14:paraId="55FDBEE0" w14:textId="77777777" w:rsidR="00570B5C" w:rsidRPr="00570B5C" w:rsidRDefault="00570B5C" w:rsidP="00570B5C">
      <w:pPr>
        <w:rPr>
          <w:lang w:val="el-GR"/>
        </w:rPr>
      </w:pPr>
    </w:p>
    <w:p w14:paraId="62462206" w14:textId="44E9B302" w:rsidR="00D77179" w:rsidRDefault="00D77179" w:rsidP="00023CB1">
      <w:pPr>
        <w:pStyle w:val="1"/>
        <w:rPr>
          <w:b/>
          <w:bCs/>
          <w:color w:val="auto"/>
          <w:lang w:val="el-GR"/>
        </w:rPr>
      </w:pPr>
    </w:p>
    <w:p w14:paraId="54852912" w14:textId="13856D1C" w:rsidR="00AA2BF2" w:rsidRDefault="00AA2BF2" w:rsidP="00AA2BF2">
      <w:pPr>
        <w:rPr>
          <w:lang w:val="el-GR"/>
        </w:rPr>
      </w:pPr>
    </w:p>
    <w:p w14:paraId="00B78F49" w14:textId="77777777" w:rsidR="00AA2BF2" w:rsidRPr="00AA2BF2" w:rsidRDefault="00AA2BF2" w:rsidP="00AA2BF2">
      <w:pPr>
        <w:rPr>
          <w:lang w:val="el-GR"/>
        </w:rPr>
      </w:pPr>
    </w:p>
    <w:p w14:paraId="7B5C90C0" w14:textId="595D1046" w:rsidR="00294CBF" w:rsidRPr="00023CB1" w:rsidRDefault="00294CBF" w:rsidP="00023CB1">
      <w:pPr>
        <w:pStyle w:val="1"/>
        <w:rPr>
          <w:b/>
          <w:bCs/>
          <w:color w:val="auto"/>
          <w:lang w:val="el-GR"/>
        </w:rPr>
      </w:pPr>
      <w:bookmarkStart w:id="25" w:name="_Toc100851212"/>
      <w:r w:rsidRPr="00023CB1">
        <w:rPr>
          <w:b/>
          <w:bCs/>
          <w:color w:val="auto"/>
          <w:lang w:val="el-GR"/>
        </w:rPr>
        <w:lastRenderedPageBreak/>
        <w:t>7. Συμπεράσματα</w:t>
      </w:r>
      <w:bookmarkEnd w:id="25"/>
    </w:p>
    <w:p w14:paraId="292A1A01" w14:textId="77777777" w:rsidR="00023CB1" w:rsidRDefault="00023CB1" w:rsidP="00294CBF">
      <w:pPr>
        <w:rPr>
          <w:lang w:val="el-GR"/>
        </w:rPr>
      </w:pPr>
    </w:p>
    <w:p w14:paraId="4F345355" w14:textId="77777777" w:rsidR="00294CBF" w:rsidRPr="00294CBF" w:rsidRDefault="00BA571D" w:rsidP="00BA571D">
      <w:pPr>
        <w:jc w:val="both"/>
        <w:rPr>
          <w:lang w:val="el-GR"/>
        </w:rPr>
      </w:pPr>
      <w:r w:rsidRPr="00BA571D">
        <w:rPr>
          <w:rFonts w:ascii="Arial Black" w:hAnsi="Arial Black"/>
          <w:lang w:val="el-GR"/>
        </w:rPr>
        <w:t>7.1</w:t>
      </w:r>
      <w:r>
        <w:rPr>
          <w:lang w:val="el-GR"/>
        </w:rPr>
        <w:t xml:space="preserve"> </w:t>
      </w:r>
      <w:r w:rsidR="00294CBF">
        <w:rPr>
          <w:lang w:val="el-GR"/>
        </w:rPr>
        <w:t xml:space="preserve">Ο </w:t>
      </w:r>
      <w:r>
        <w:rPr>
          <w:lang w:val="el-GR"/>
        </w:rPr>
        <w:t>Διαχειριστής θα αναφέρει στην ετήσια έκθεση του, για κάθε επιμέρους κατηγορία καταγραφής της απόδοσης λειτουργίας του ΕΣΜΗΕ, συμπεράσματα που προκύπτουν αναφορικά με τις τιμές που των δεικτών που</w:t>
      </w:r>
      <w:r w:rsidR="002A1F89">
        <w:rPr>
          <w:lang w:val="el-GR"/>
        </w:rPr>
        <w:t xml:space="preserve"> παρουσιάστηκαν</w:t>
      </w:r>
      <w:r>
        <w:rPr>
          <w:lang w:val="el-GR"/>
        </w:rPr>
        <w:t>.</w:t>
      </w:r>
    </w:p>
    <w:sectPr w:rsidR="00294CBF" w:rsidRPr="00294CBF" w:rsidSect="00BF4AE0">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8CB6" w14:textId="77777777" w:rsidR="003853F0" w:rsidRDefault="003853F0" w:rsidP="00D33787">
      <w:pPr>
        <w:spacing w:after="0" w:line="240" w:lineRule="auto"/>
      </w:pPr>
      <w:r>
        <w:separator/>
      </w:r>
    </w:p>
  </w:endnote>
  <w:endnote w:type="continuationSeparator" w:id="0">
    <w:p w14:paraId="0EABE439" w14:textId="77777777" w:rsidR="003853F0" w:rsidRDefault="003853F0" w:rsidP="00D3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97799"/>
      <w:docPartObj>
        <w:docPartGallery w:val="Page Numbers (Bottom of Page)"/>
        <w:docPartUnique/>
      </w:docPartObj>
    </w:sdtPr>
    <w:sdtEndPr/>
    <w:sdtContent>
      <w:p w14:paraId="4BC4980A" w14:textId="77777777" w:rsidR="006C4F2B" w:rsidRDefault="006C4F2B">
        <w:pPr>
          <w:pStyle w:val="a7"/>
          <w:jc w:val="right"/>
        </w:pPr>
        <w:r>
          <w:fldChar w:fldCharType="begin"/>
        </w:r>
        <w:r>
          <w:instrText>PAGE   \* MERGEFORMAT</w:instrText>
        </w:r>
        <w:r>
          <w:fldChar w:fldCharType="separate"/>
        </w:r>
        <w:r w:rsidR="004943CE" w:rsidRPr="004943CE">
          <w:rPr>
            <w:noProof/>
            <w:lang w:val="el-GR"/>
          </w:rPr>
          <w:t>5</w:t>
        </w:r>
        <w:r>
          <w:rPr>
            <w:noProof/>
            <w:lang w:val="el-GR"/>
          </w:rPr>
          <w:fldChar w:fldCharType="end"/>
        </w:r>
      </w:p>
    </w:sdtContent>
  </w:sdt>
  <w:p w14:paraId="50099631" w14:textId="77777777" w:rsidR="006C4F2B" w:rsidRDefault="006C4F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6387" w14:textId="77777777" w:rsidR="003853F0" w:rsidRDefault="003853F0" w:rsidP="00D33787">
      <w:pPr>
        <w:spacing w:after="0" w:line="240" w:lineRule="auto"/>
      </w:pPr>
      <w:r>
        <w:separator/>
      </w:r>
    </w:p>
  </w:footnote>
  <w:footnote w:type="continuationSeparator" w:id="0">
    <w:p w14:paraId="186940F0" w14:textId="77777777" w:rsidR="003853F0" w:rsidRDefault="003853F0" w:rsidP="00D33787">
      <w:pPr>
        <w:spacing w:after="0" w:line="240" w:lineRule="auto"/>
      </w:pPr>
      <w:r>
        <w:continuationSeparator/>
      </w:r>
    </w:p>
  </w:footnote>
  <w:footnote w:id="1">
    <w:p w14:paraId="6774F521" w14:textId="77777777" w:rsidR="006C4F2B" w:rsidRPr="00A7310E" w:rsidRDefault="006C4F2B" w:rsidP="00A7310E">
      <w:pPr>
        <w:pStyle w:val="a4"/>
        <w:jc w:val="both"/>
        <w:rPr>
          <w:i/>
          <w:iCs/>
          <w:lang w:val="el-GR"/>
        </w:rPr>
      </w:pPr>
      <w:r>
        <w:rPr>
          <w:rStyle w:val="a5"/>
        </w:rPr>
        <w:footnoteRef/>
      </w:r>
      <w:r w:rsidRPr="00A7310E">
        <w:rPr>
          <w:lang w:val="el-GR"/>
        </w:rPr>
        <w:t xml:space="preserve"> </w:t>
      </w:r>
      <w:r>
        <w:rPr>
          <w:lang w:val="el-GR"/>
        </w:rPr>
        <w:t>Άρθρο 3 του Κανονισμού ΕΕ</w:t>
      </w:r>
      <w:r w:rsidRPr="00907F28">
        <w:rPr>
          <w:lang w:val="el-GR"/>
        </w:rPr>
        <w:t xml:space="preserve"> 2017/1485</w:t>
      </w:r>
      <w:r>
        <w:rPr>
          <w:lang w:val="el-GR"/>
        </w:rPr>
        <w:t xml:space="preserve"> </w:t>
      </w:r>
      <w:r>
        <w:t>SOGL</w:t>
      </w:r>
      <w:r w:rsidRPr="00202469">
        <w:rPr>
          <w:lang w:val="el-GR"/>
        </w:rPr>
        <w:t xml:space="preserve">: </w:t>
      </w:r>
      <w:r>
        <w:t>LFC</w:t>
      </w:r>
      <w:r w:rsidRPr="00202469">
        <w:rPr>
          <w:lang w:val="el-GR"/>
        </w:rPr>
        <w:t xml:space="preserve"> </w:t>
      </w:r>
      <w:r>
        <w:t>Block</w:t>
      </w:r>
      <w:r w:rsidRPr="00202469">
        <w:rPr>
          <w:lang w:val="el-GR"/>
        </w:rPr>
        <w:t xml:space="preserve"> </w:t>
      </w:r>
      <w:r>
        <w:rPr>
          <w:lang w:val="el-GR"/>
        </w:rPr>
        <w:t>ή Ενότητα ΕΦΣ</w:t>
      </w:r>
      <w:r w:rsidRPr="00202469">
        <w:rPr>
          <w:lang w:val="el-GR"/>
        </w:rPr>
        <w:t xml:space="preserve">: </w:t>
      </w:r>
      <w:r w:rsidRPr="00202469">
        <w:rPr>
          <w:i/>
          <w:iCs/>
          <w:lang w:val="el-GR"/>
        </w:rPr>
        <w:t>«τμήμα συγχρονισμένης περιοχής ή ολόκληρη συγχρονισμένη περιοχή, φυσικώς οριοθετούμενη από σημεία μέτρησης σε γραμμές διασύνδεσης προς άλλες ενότητες ΕΦΣ, αποτελούμενη από μία ή περισσότερες περιοχές ΕΦΣ, τη διαχείριση του οποίου ή της οποίας ασκεί ένας ή περισσότεροι ΔΣΜ που εκπληρώνουν τις υποχρεώσεις ελέγχου φορτίου-συχνότητας·»</w:t>
      </w:r>
    </w:p>
  </w:footnote>
  <w:footnote w:id="2">
    <w:p w14:paraId="0CECD6CC" w14:textId="77777777" w:rsidR="006C4F2B" w:rsidRPr="00C9044F" w:rsidRDefault="006C4F2B" w:rsidP="00C9519A">
      <w:pPr>
        <w:pStyle w:val="a4"/>
        <w:jc w:val="both"/>
        <w:rPr>
          <w:lang w:val="el-GR"/>
        </w:rPr>
      </w:pPr>
      <w:r>
        <w:rPr>
          <w:rStyle w:val="a5"/>
        </w:rPr>
        <w:footnoteRef/>
      </w:r>
      <w:r w:rsidRPr="00C9044F">
        <w:rPr>
          <w:lang w:val="el-GR"/>
        </w:rPr>
        <w:t xml:space="preserve"> </w:t>
      </w:r>
      <w:r>
        <w:rPr>
          <w:lang w:val="el-GR"/>
        </w:rPr>
        <w:t>Άρθρο 130</w:t>
      </w:r>
      <w:r w:rsidRPr="00907F28">
        <w:rPr>
          <w:lang w:val="el-GR"/>
        </w:rPr>
        <w:t xml:space="preserve"> του Κανονισμού</w:t>
      </w:r>
      <w:r>
        <w:rPr>
          <w:lang w:val="el-GR"/>
        </w:rPr>
        <w:t xml:space="preserve"> ΕΕ</w:t>
      </w:r>
      <w:r w:rsidRPr="00907F28">
        <w:rPr>
          <w:lang w:val="el-GR"/>
        </w:rPr>
        <w:t xml:space="preserve"> 2017/1485</w:t>
      </w:r>
      <w:r>
        <w:rPr>
          <w:lang w:val="el-GR"/>
        </w:rPr>
        <w:t xml:space="preserve"> </w:t>
      </w:r>
      <w:r>
        <w:t>SOGL</w:t>
      </w:r>
    </w:p>
  </w:footnote>
  <w:footnote w:id="3">
    <w:p w14:paraId="74F9017C" w14:textId="77777777" w:rsidR="006C4F2B" w:rsidRPr="00907F28" w:rsidRDefault="006C4F2B" w:rsidP="00C9519A">
      <w:pPr>
        <w:pStyle w:val="a4"/>
        <w:jc w:val="both"/>
        <w:rPr>
          <w:lang w:val="el-GR"/>
        </w:rPr>
      </w:pPr>
      <w:r>
        <w:rPr>
          <w:rStyle w:val="a5"/>
        </w:rPr>
        <w:footnoteRef/>
      </w:r>
      <w:r w:rsidRPr="00907F28">
        <w:rPr>
          <w:lang w:val="el-GR"/>
        </w:rPr>
        <w:t xml:space="preserve"> </w:t>
      </w:r>
      <w:r>
        <w:rPr>
          <w:lang w:val="el-GR"/>
        </w:rPr>
        <w:t>Άρθρο 13</w:t>
      </w:r>
      <w:r w:rsidRPr="00907F28">
        <w:rPr>
          <w:lang w:val="el-GR"/>
        </w:rPr>
        <w:t>1 του Κανονισμού</w:t>
      </w:r>
      <w:r>
        <w:rPr>
          <w:lang w:val="el-GR"/>
        </w:rPr>
        <w:t xml:space="preserve"> ΕΕ</w:t>
      </w:r>
      <w:r w:rsidRPr="00907F28">
        <w:rPr>
          <w:lang w:val="el-GR"/>
        </w:rPr>
        <w:t xml:space="preserve"> 2017/1485</w:t>
      </w:r>
      <w:r>
        <w:rPr>
          <w:lang w:val="el-GR"/>
        </w:rPr>
        <w:t xml:space="preserve"> </w:t>
      </w:r>
      <w:r>
        <w:t>SOGL</w:t>
      </w:r>
    </w:p>
  </w:footnote>
  <w:footnote w:id="4">
    <w:p w14:paraId="0FBAE6CA" w14:textId="77777777" w:rsidR="006C4F2B" w:rsidRPr="00793F7E" w:rsidRDefault="006C4F2B" w:rsidP="00C9519A">
      <w:pPr>
        <w:pStyle w:val="a4"/>
        <w:jc w:val="both"/>
        <w:rPr>
          <w:lang w:val="el-GR"/>
        </w:rPr>
      </w:pPr>
      <w:r>
        <w:rPr>
          <w:rStyle w:val="a5"/>
        </w:rPr>
        <w:footnoteRef/>
      </w:r>
      <w:r w:rsidRPr="00793F7E">
        <w:rPr>
          <w:lang w:val="el-GR"/>
        </w:rPr>
        <w:t xml:space="preserve"> </w:t>
      </w:r>
      <w:r>
        <w:rPr>
          <w:lang w:val="el-GR"/>
        </w:rPr>
        <w:t>Άρθρο 3 του Κανονισμού ΕΕ</w:t>
      </w:r>
      <w:r w:rsidRPr="00907F28">
        <w:rPr>
          <w:lang w:val="el-GR"/>
        </w:rPr>
        <w:t xml:space="preserve"> 2017/1485</w:t>
      </w:r>
      <w:r>
        <w:rPr>
          <w:lang w:val="el-GR"/>
        </w:rPr>
        <w:t xml:space="preserve"> </w:t>
      </w:r>
      <w:r>
        <w:t>SOGL</w:t>
      </w:r>
      <w:r w:rsidRPr="009F644D">
        <w:rPr>
          <w:lang w:val="el-GR"/>
        </w:rPr>
        <w:t xml:space="preserve">: </w:t>
      </w:r>
      <w:r>
        <w:t>LFC</w:t>
      </w:r>
      <w:r w:rsidRPr="00202469">
        <w:rPr>
          <w:lang w:val="el-GR"/>
        </w:rPr>
        <w:t xml:space="preserve"> </w:t>
      </w:r>
      <w:r>
        <w:t>Area</w:t>
      </w:r>
      <w:r w:rsidRPr="00202469">
        <w:rPr>
          <w:lang w:val="el-GR"/>
        </w:rPr>
        <w:t xml:space="preserve"> </w:t>
      </w:r>
      <w:r>
        <w:rPr>
          <w:lang w:val="el-GR"/>
        </w:rPr>
        <w:t>ή Περιοχή ΕΦΣ</w:t>
      </w:r>
      <w:r w:rsidRPr="00202469">
        <w:rPr>
          <w:lang w:val="el-GR"/>
        </w:rPr>
        <w:t>:</w:t>
      </w:r>
      <w:r w:rsidRPr="00202469">
        <w:rPr>
          <w:i/>
          <w:iCs/>
          <w:lang w:val="el-GR"/>
        </w:rPr>
        <w:t xml:space="preserve"> «τμήμα συγχρονισμένης περιοχής ή ολόκληρη συγχρονισμένη περιοχή, φυσικώς οριοθετούμενη από σημεία μέτρησης σε γραμμές διασύνδεσης προς άλλες περιοχές ΕΦΣ, τη διαχείριση του οποίου ή της οποίας ασκεί ένας ή περισσότεροι ΔΣΜ που εκπληρώνουν τις υποχρεώσεις ελέγχου φορτίου συχνότητας»</w:t>
      </w:r>
    </w:p>
  </w:footnote>
  <w:footnote w:id="5">
    <w:p w14:paraId="103486DD" w14:textId="77777777" w:rsidR="006C4F2B" w:rsidRPr="00A7310E" w:rsidRDefault="006C4F2B" w:rsidP="00C9519A">
      <w:pPr>
        <w:pStyle w:val="a4"/>
        <w:jc w:val="both"/>
        <w:rPr>
          <w:i/>
          <w:lang w:val="el-GR"/>
        </w:rPr>
      </w:pPr>
      <w:r>
        <w:rPr>
          <w:rStyle w:val="a5"/>
        </w:rPr>
        <w:footnoteRef/>
      </w:r>
      <w:r w:rsidRPr="00502394">
        <w:rPr>
          <w:lang w:val="el-GR"/>
        </w:rPr>
        <w:t xml:space="preserve"> </w:t>
      </w:r>
      <w:r>
        <w:rPr>
          <w:bCs/>
          <w:lang w:val="el-GR"/>
        </w:rPr>
        <w:t>Ά</w:t>
      </w:r>
      <w:r w:rsidRPr="00502394">
        <w:rPr>
          <w:bCs/>
          <w:lang w:val="el-GR"/>
        </w:rPr>
        <w:t xml:space="preserve">ρθρο </w:t>
      </w:r>
      <w:r>
        <w:rPr>
          <w:bCs/>
          <w:lang w:val="el-GR"/>
        </w:rPr>
        <w:t>3</w:t>
      </w:r>
      <w:r w:rsidRPr="00502394">
        <w:rPr>
          <w:bCs/>
          <w:lang w:val="el-GR"/>
        </w:rPr>
        <w:t xml:space="preserve"> </w:t>
      </w:r>
      <w:r>
        <w:rPr>
          <w:lang w:val="el-GR"/>
        </w:rPr>
        <w:t>του Κανονισμού ΕΕ</w:t>
      </w:r>
      <w:r w:rsidRPr="00907F28">
        <w:rPr>
          <w:lang w:val="el-GR"/>
        </w:rPr>
        <w:t xml:space="preserve"> 2017/1485</w:t>
      </w:r>
      <w:r>
        <w:rPr>
          <w:lang w:val="el-GR"/>
        </w:rPr>
        <w:t xml:space="preserve"> </w:t>
      </w:r>
      <w:r>
        <w:t>SOGL</w:t>
      </w:r>
      <w:r w:rsidRPr="007904EB">
        <w:rPr>
          <w:lang w:val="el-GR"/>
        </w:rPr>
        <w:t xml:space="preserve">: </w:t>
      </w:r>
      <w:r w:rsidRPr="00A7310E">
        <w:rPr>
          <w:i/>
          <w:lang w:val="el-GR"/>
        </w:rPr>
        <w:t xml:space="preserve">«συντελεστής </w:t>
      </w:r>
      <w:r w:rsidRPr="00A7310E">
        <w:rPr>
          <w:i/>
        </w:rPr>
        <w:t>K</w:t>
      </w:r>
      <w:r w:rsidRPr="00A7310E">
        <w:rPr>
          <w:i/>
          <w:lang w:val="el-GR"/>
        </w:rPr>
        <w:t xml:space="preserve"> περιοχής ΕΦΣ ή ενότητας ΕΦΣ»: τιμή εκφραζόμενη σε μεγαβάτ ανά </w:t>
      </w:r>
      <w:r w:rsidRPr="00A7310E">
        <w:rPr>
          <w:i/>
        </w:rPr>
        <w:t>Hertz</w:t>
      </w:r>
      <w:r w:rsidRPr="00A7310E">
        <w:rPr>
          <w:i/>
          <w:lang w:val="el-GR"/>
        </w:rPr>
        <w:t xml:space="preserve"> ('</w:t>
      </w:r>
      <w:r w:rsidRPr="00A7310E">
        <w:rPr>
          <w:i/>
        </w:rPr>
        <w:t>MW</w:t>
      </w:r>
      <w:r w:rsidRPr="00A7310E">
        <w:rPr>
          <w:i/>
          <w:lang w:val="el-GR"/>
        </w:rPr>
        <w:t>/</w:t>
      </w:r>
      <w:r w:rsidRPr="00A7310E">
        <w:rPr>
          <w:i/>
        </w:rPr>
        <w:t>Hz</w:t>
      </w:r>
      <w:r w:rsidRPr="00A7310E">
        <w:rPr>
          <w:i/>
          <w:lang w:val="el-GR"/>
        </w:rPr>
        <w:t>'), που είναι όσο το πρακτικώς δυνατόν πλησιέστερη ή μεγαλύτερη από το άθροισμα του αυτοελέγχου παραγωγής, της αυτορρύθμισης φορτίου και της συνεισφοράς της εφεδρείας διατήρησης συχνότητας, διαιρούμενη διά της μέγιστης απόκλισης συχνότητας σταθερής κατάστασης·</w:t>
      </w:r>
    </w:p>
  </w:footnote>
  <w:footnote w:id="6">
    <w:p w14:paraId="4A267798" w14:textId="77777777" w:rsidR="006C4F2B" w:rsidRPr="00793F7E" w:rsidRDefault="006C4F2B">
      <w:pPr>
        <w:pStyle w:val="a4"/>
        <w:rPr>
          <w:lang w:val="el-GR"/>
        </w:rPr>
      </w:pPr>
      <w:r>
        <w:rPr>
          <w:rStyle w:val="a5"/>
        </w:rPr>
        <w:footnoteRef/>
      </w:r>
      <w:r w:rsidRPr="006E14E5">
        <w:rPr>
          <w:lang w:val="el-GR"/>
        </w:rPr>
        <w:t xml:space="preserve"> </w:t>
      </w:r>
      <w:hyperlink r:id="rId1" w:history="1">
        <w:r w:rsidRPr="00793F7E">
          <w:rPr>
            <w:rStyle w:val="-"/>
            <w:lang w:val="el-GR"/>
          </w:rPr>
          <w:t>Τεχνική Απόφαση αυτόματης Εφεδρείας Αποκατάστασης Συχνότητας (αΕΑΣ)</w:t>
        </w:r>
      </w:hyperlink>
    </w:p>
  </w:footnote>
  <w:footnote w:id="7">
    <w:p w14:paraId="40C6DB9C" w14:textId="77777777" w:rsidR="006C4F2B" w:rsidRPr="00907F28" w:rsidRDefault="006C4F2B" w:rsidP="004F5A62">
      <w:pPr>
        <w:pStyle w:val="a4"/>
        <w:rPr>
          <w:lang w:val="el-GR"/>
        </w:rPr>
      </w:pPr>
      <w:r>
        <w:rPr>
          <w:rStyle w:val="a5"/>
        </w:rPr>
        <w:footnoteRef/>
      </w:r>
      <w:r w:rsidRPr="00907F28">
        <w:rPr>
          <w:lang w:val="el-GR"/>
        </w:rPr>
        <w:t xml:space="preserve"> Άρθρο 118 του </w:t>
      </w:r>
      <w:r>
        <w:rPr>
          <w:lang w:val="el-GR"/>
        </w:rPr>
        <w:t>Κανονισμού ΕΕ</w:t>
      </w:r>
      <w:r w:rsidRPr="00907F28">
        <w:rPr>
          <w:lang w:val="el-GR"/>
        </w:rPr>
        <w:t xml:space="preserve"> 2017/1485</w:t>
      </w:r>
      <w:r>
        <w:rPr>
          <w:lang w:val="el-GR"/>
        </w:rPr>
        <w:t xml:space="preserve"> </w:t>
      </w:r>
      <w:r>
        <w:t>SOGL</w:t>
      </w:r>
    </w:p>
  </w:footnote>
  <w:footnote w:id="8">
    <w:p w14:paraId="27E3BDE6" w14:textId="77777777" w:rsidR="006C4F2B" w:rsidRPr="00DE6CF0" w:rsidRDefault="006C4F2B" w:rsidP="00C9519A">
      <w:pPr>
        <w:pStyle w:val="a4"/>
        <w:jc w:val="both"/>
        <w:rPr>
          <w:lang w:val="el-GR"/>
        </w:rPr>
      </w:pPr>
      <w:r>
        <w:rPr>
          <w:rStyle w:val="a5"/>
        </w:rPr>
        <w:footnoteRef/>
      </w:r>
      <w:r w:rsidRPr="00E341F8">
        <w:rPr>
          <w:lang w:val="el-GR"/>
        </w:rPr>
        <w:t xml:space="preserve"> </w:t>
      </w:r>
      <w:r>
        <w:rPr>
          <w:lang w:val="el-GR"/>
        </w:rPr>
        <w:t>Άρθρο 16 του Κανονισμού ΕΕ</w:t>
      </w:r>
      <w:r w:rsidRPr="00907F28">
        <w:rPr>
          <w:lang w:val="el-GR"/>
        </w:rPr>
        <w:t xml:space="preserve"> 2017/1485</w:t>
      </w:r>
      <w:r>
        <w:rPr>
          <w:lang w:val="el-GR"/>
        </w:rPr>
        <w:t xml:space="preserve"> </w:t>
      </w:r>
      <w:r>
        <w:t>SOGL</w:t>
      </w:r>
    </w:p>
  </w:footnote>
  <w:footnote w:id="9">
    <w:p w14:paraId="66F8EC4E" w14:textId="77777777" w:rsidR="006C4F2B" w:rsidRPr="00DE6CF0" w:rsidRDefault="006C4F2B">
      <w:pPr>
        <w:pStyle w:val="a4"/>
        <w:rPr>
          <w:lang w:val="el-GR"/>
        </w:rPr>
      </w:pPr>
      <w:r>
        <w:rPr>
          <w:rStyle w:val="a5"/>
        </w:rPr>
        <w:footnoteRef/>
      </w:r>
      <w:r w:rsidRPr="00DE6CF0">
        <w:rPr>
          <w:lang w:val="el-GR"/>
        </w:rPr>
        <w:t xml:space="preserve"> </w:t>
      </w:r>
      <w:r>
        <w:rPr>
          <w:lang w:val="el-GR"/>
        </w:rPr>
        <w:t>Άρθρα 143, 146 και 147 του Κανονισμού ΕΕ</w:t>
      </w:r>
      <w:r w:rsidRPr="00907F28">
        <w:rPr>
          <w:lang w:val="el-GR"/>
        </w:rPr>
        <w:t xml:space="preserve"> 2017/1485</w:t>
      </w:r>
      <w:r>
        <w:rPr>
          <w:lang w:val="el-GR"/>
        </w:rPr>
        <w:t xml:space="preserve"> </w:t>
      </w:r>
      <w:r>
        <w:t>SOGL</w:t>
      </w:r>
    </w:p>
  </w:footnote>
  <w:footnote w:id="10">
    <w:p w14:paraId="768E5EAC" w14:textId="77777777" w:rsidR="006C4F2B" w:rsidRPr="00CA176C" w:rsidRDefault="006C4F2B" w:rsidP="00D33787">
      <w:pPr>
        <w:pStyle w:val="a4"/>
        <w:rPr>
          <w:i/>
          <w:iCs/>
          <w:lang w:val="el-GR"/>
        </w:rPr>
      </w:pPr>
      <w:r>
        <w:rPr>
          <w:rStyle w:val="a5"/>
        </w:rPr>
        <w:footnoteRef/>
      </w:r>
      <w:r w:rsidRPr="00CA176C">
        <w:rPr>
          <w:lang w:val="el-GR"/>
        </w:rPr>
        <w:t xml:space="preserve"> </w:t>
      </w:r>
      <w:r w:rsidRPr="00C92188">
        <w:rPr>
          <w:bCs/>
          <w:lang w:val="el-GR"/>
        </w:rPr>
        <w:t>Άρθρο 19</w:t>
      </w:r>
      <w:r w:rsidRPr="00CA176C">
        <w:rPr>
          <w:b/>
          <w:bCs/>
          <w:lang w:val="el-GR"/>
        </w:rPr>
        <w:t xml:space="preserve"> </w:t>
      </w:r>
      <w:r>
        <w:rPr>
          <w:lang w:val="el-GR"/>
        </w:rPr>
        <w:t>του Κανονισμού ΕΕ</w:t>
      </w:r>
      <w:r w:rsidRPr="00907F28">
        <w:rPr>
          <w:lang w:val="el-GR"/>
        </w:rPr>
        <w:t xml:space="preserve"> 2017/1485</w:t>
      </w:r>
      <w:r>
        <w:rPr>
          <w:lang w:val="el-GR"/>
        </w:rPr>
        <w:t xml:space="preserve"> </w:t>
      </w:r>
      <w:r>
        <w:t>SOGL</w:t>
      </w:r>
    </w:p>
  </w:footnote>
  <w:footnote w:id="11">
    <w:p w14:paraId="4ED2F3BB" w14:textId="77777777" w:rsidR="006C4F2B" w:rsidRPr="00280A1C" w:rsidRDefault="006C4F2B" w:rsidP="00C35F5C">
      <w:pPr>
        <w:pStyle w:val="a4"/>
        <w:rPr>
          <w:lang w:val="el-GR"/>
        </w:rPr>
      </w:pPr>
      <w:r>
        <w:rPr>
          <w:rStyle w:val="a5"/>
        </w:rPr>
        <w:footnoteRef/>
      </w:r>
      <w:r>
        <w:rPr>
          <w:lang w:val="el-GR"/>
        </w:rPr>
        <w:t xml:space="preserve"> Ορίζ 25 του Κανονισμού ΕΕ</w:t>
      </w:r>
      <w:r w:rsidRPr="00907F28">
        <w:rPr>
          <w:lang w:val="el-GR"/>
        </w:rPr>
        <w:t xml:space="preserve"> 2017/1485</w:t>
      </w:r>
      <w:r>
        <w:rPr>
          <w:lang w:val="el-GR"/>
        </w:rPr>
        <w:t xml:space="preserve"> </w:t>
      </w:r>
      <w:r>
        <w:t>SOGL</w:t>
      </w:r>
    </w:p>
  </w:footnote>
  <w:footnote w:id="12">
    <w:p w14:paraId="0DDD2188" w14:textId="77777777" w:rsidR="006C4F2B" w:rsidRPr="00280A1C" w:rsidRDefault="006C4F2B" w:rsidP="00C35F5C">
      <w:pPr>
        <w:pStyle w:val="a4"/>
        <w:rPr>
          <w:lang w:val="el-GR"/>
        </w:rPr>
      </w:pPr>
      <w:r>
        <w:rPr>
          <w:rStyle w:val="a5"/>
        </w:rPr>
        <w:footnoteRef/>
      </w:r>
      <w:r w:rsidRPr="00280A1C">
        <w:rPr>
          <w:lang w:val="el-GR"/>
        </w:rPr>
        <w:t xml:space="preserve"> </w:t>
      </w:r>
      <w:r>
        <w:rPr>
          <w:lang w:val="el-GR"/>
        </w:rPr>
        <w:t>Παράρτημα ΙΙ του Κανονισμού ΕΕ</w:t>
      </w:r>
      <w:r w:rsidRPr="00907F28">
        <w:rPr>
          <w:lang w:val="el-GR"/>
        </w:rPr>
        <w:t xml:space="preserve"> 2017/1485</w:t>
      </w:r>
      <w:r>
        <w:rPr>
          <w:lang w:val="el-GR"/>
        </w:rPr>
        <w:t xml:space="preserve"> </w:t>
      </w:r>
      <w:r>
        <w:t>SOGL</w:t>
      </w:r>
    </w:p>
  </w:footnote>
  <w:footnote w:id="13">
    <w:p w14:paraId="775C14A7" w14:textId="77777777" w:rsidR="006C4F2B" w:rsidRPr="00AE5A21" w:rsidRDefault="006C4F2B" w:rsidP="00C35F5C">
      <w:pPr>
        <w:pStyle w:val="a4"/>
        <w:rPr>
          <w:lang w:val="el-GR"/>
        </w:rPr>
      </w:pPr>
      <w:r>
        <w:rPr>
          <w:rStyle w:val="a5"/>
        </w:rPr>
        <w:footnoteRef/>
      </w:r>
      <w:r w:rsidRPr="00AE5A21">
        <w:rPr>
          <w:lang w:val="el-GR"/>
        </w:rPr>
        <w:t xml:space="preserve"> </w:t>
      </w:r>
      <w:r>
        <w:rPr>
          <w:lang w:val="el-GR"/>
        </w:rPr>
        <w:t>Άρθρο 15 του Κανονισμού ΕΕ</w:t>
      </w:r>
      <w:r w:rsidRPr="00907F28">
        <w:rPr>
          <w:lang w:val="el-GR"/>
        </w:rPr>
        <w:t xml:space="preserve"> 2017/1485</w:t>
      </w:r>
      <w:r>
        <w:rPr>
          <w:lang w:val="el-GR"/>
        </w:rPr>
        <w:t xml:space="preserve"> </w:t>
      </w:r>
      <w:r>
        <w:t>SOGL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849A" w14:textId="77777777" w:rsidR="006C4F2B" w:rsidRDefault="006C4F2B">
    <w:pPr>
      <w:pStyle w:val="a6"/>
    </w:pPr>
    <w:r>
      <w:rPr>
        <w:lang w:val="el-GR"/>
      </w:rPr>
      <w:t xml:space="preserve">                                                                                                                                                              </w:t>
    </w:r>
    <w:r>
      <w:rPr>
        <w:noProof/>
        <w:lang w:val="el-GR" w:eastAsia="el-GR"/>
      </w:rPr>
      <w:drawing>
        <wp:inline distT="0" distB="0" distL="0" distR="0" wp14:anchorId="428657BD" wp14:editId="36E0C1BB">
          <wp:extent cx="933855" cy="427990"/>
          <wp:effectExtent l="0" t="0" r="0" b="0"/>
          <wp:docPr id="2" name="Εικόνα 2"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1"/>
                  <a:srcRect/>
                  <a:stretch>
                    <a:fillRect/>
                  </a:stretch>
                </pic:blipFill>
                <pic:spPr bwMode="auto">
                  <a:xfrm>
                    <a:off x="0" y="0"/>
                    <a:ext cx="952065" cy="4363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66"/>
    <w:multiLevelType w:val="hybridMultilevel"/>
    <w:tmpl w:val="5D4212E8"/>
    <w:lvl w:ilvl="0" w:tplc="0408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2062"/>
    <w:multiLevelType w:val="hybridMultilevel"/>
    <w:tmpl w:val="18387D4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A616008"/>
    <w:multiLevelType w:val="multilevel"/>
    <w:tmpl w:val="E1C8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D0223"/>
    <w:multiLevelType w:val="hybridMultilevel"/>
    <w:tmpl w:val="69C4E6F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643AD4"/>
    <w:multiLevelType w:val="hybridMultilevel"/>
    <w:tmpl w:val="25D0EF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1F7CBD"/>
    <w:multiLevelType w:val="hybridMultilevel"/>
    <w:tmpl w:val="6BB8E49A"/>
    <w:lvl w:ilvl="0" w:tplc="0408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7C4E"/>
    <w:multiLevelType w:val="hybridMultilevel"/>
    <w:tmpl w:val="2876AF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27426D"/>
    <w:multiLevelType w:val="hybridMultilevel"/>
    <w:tmpl w:val="0372A15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5A633B"/>
    <w:multiLevelType w:val="hybridMultilevel"/>
    <w:tmpl w:val="462C86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BC54DF"/>
    <w:multiLevelType w:val="hybridMultilevel"/>
    <w:tmpl w:val="BF64F634"/>
    <w:lvl w:ilvl="0" w:tplc="0408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8035F"/>
    <w:multiLevelType w:val="hybridMultilevel"/>
    <w:tmpl w:val="C1623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FD15A5"/>
    <w:multiLevelType w:val="multilevel"/>
    <w:tmpl w:val="32BA80BE"/>
    <w:lvl w:ilvl="0">
      <w:start w:val="1"/>
      <w:numFmt w:val="upperRoman"/>
      <w:lvlText w:val="%1."/>
      <w:lvlJc w:val="right"/>
      <w:pPr>
        <w:ind w:left="720" w:hanging="360"/>
      </w:pPr>
      <w:rPr>
        <w:rFonts w:hint="default"/>
      </w:rPr>
    </w:lvl>
    <w:lvl w:ilvl="1">
      <w:start w:val="1"/>
      <w:numFmt w:val="decimal"/>
      <w:isLgl/>
      <w:lvlText w:val="%1.%2"/>
      <w:lvlJc w:val="left"/>
      <w:pPr>
        <w:ind w:left="876" w:hanging="516"/>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671DEB"/>
    <w:multiLevelType w:val="hybridMultilevel"/>
    <w:tmpl w:val="FBF0C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2370"/>
    <w:multiLevelType w:val="hybridMultilevel"/>
    <w:tmpl w:val="8E861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84B7370"/>
    <w:multiLevelType w:val="hybridMultilevel"/>
    <w:tmpl w:val="BD444B56"/>
    <w:lvl w:ilvl="0" w:tplc="E4C4B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81DDF"/>
    <w:multiLevelType w:val="hybridMultilevel"/>
    <w:tmpl w:val="6004D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D5161"/>
    <w:multiLevelType w:val="hybridMultilevel"/>
    <w:tmpl w:val="86CCC72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2C2C50D8"/>
    <w:multiLevelType w:val="hybridMultilevel"/>
    <w:tmpl w:val="50AC31F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C96227B"/>
    <w:multiLevelType w:val="hybridMultilevel"/>
    <w:tmpl w:val="106A3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47F2"/>
    <w:multiLevelType w:val="hybridMultilevel"/>
    <w:tmpl w:val="C62074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3208EF"/>
    <w:multiLevelType w:val="hybridMultilevel"/>
    <w:tmpl w:val="B590ED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72E1E57"/>
    <w:multiLevelType w:val="hybridMultilevel"/>
    <w:tmpl w:val="5284147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CB357E"/>
    <w:multiLevelType w:val="hybridMultilevel"/>
    <w:tmpl w:val="C19CFDF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9245F73"/>
    <w:multiLevelType w:val="hybridMultilevel"/>
    <w:tmpl w:val="24D8EC54"/>
    <w:lvl w:ilvl="0" w:tplc="E4C4B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56406"/>
    <w:multiLevelType w:val="hybridMultilevel"/>
    <w:tmpl w:val="F7D42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A7503"/>
    <w:multiLevelType w:val="hybridMultilevel"/>
    <w:tmpl w:val="D0365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3775CE6"/>
    <w:multiLevelType w:val="multilevel"/>
    <w:tmpl w:val="BCAA72F2"/>
    <w:lvl w:ilvl="0">
      <w:start w:val="1"/>
      <w:numFmt w:val="upperRoman"/>
      <w:lvlText w:val="%1."/>
      <w:lvlJc w:val="right"/>
      <w:pPr>
        <w:ind w:left="720" w:hanging="360"/>
      </w:pPr>
      <w:rPr>
        <w:rFonts w:hint="default"/>
        <w:b/>
        <w:i/>
        <w:lang w:val="el-GR"/>
      </w:rPr>
    </w:lvl>
    <w:lvl w:ilvl="1">
      <w:start w:val="1"/>
      <w:numFmt w:val="decimal"/>
      <w:isLgl/>
      <w:lvlText w:val="%1.%2"/>
      <w:lvlJc w:val="left"/>
      <w:pPr>
        <w:ind w:left="1128" w:hanging="768"/>
      </w:pPr>
      <w:rPr>
        <w:rFonts w:ascii="Arial Black" w:hAnsi="Arial Black" w:hint="default"/>
      </w:rPr>
    </w:lvl>
    <w:lvl w:ilvl="2">
      <w:start w:val="10"/>
      <w:numFmt w:val="decimal"/>
      <w:isLgl/>
      <w:lvlText w:val="%1.%2.%3"/>
      <w:lvlJc w:val="left"/>
      <w:pPr>
        <w:ind w:left="1128" w:hanging="768"/>
      </w:pPr>
      <w:rPr>
        <w:rFonts w:ascii="Arial Black" w:hAnsi="Arial Black" w:hint="default"/>
      </w:rPr>
    </w:lvl>
    <w:lvl w:ilvl="3">
      <w:start w:val="1"/>
      <w:numFmt w:val="decimal"/>
      <w:isLgl/>
      <w:lvlText w:val="%1.%2.%3.%4"/>
      <w:lvlJc w:val="left"/>
      <w:pPr>
        <w:ind w:left="1128" w:hanging="768"/>
      </w:pPr>
      <w:rPr>
        <w:rFonts w:ascii="Arial Black" w:hAnsi="Arial Black" w:hint="default"/>
      </w:rPr>
    </w:lvl>
    <w:lvl w:ilvl="4">
      <w:start w:val="1"/>
      <w:numFmt w:val="decimal"/>
      <w:isLgl/>
      <w:lvlText w:val="%1.%2.%3.%4.%5"/>
      <w:lvlJc w:val="left"/>
      <w:pPr>
        <w:ind w:left="1440" w:hanging="1080"/>
      </w:pPr>
      <w:rPr>
        <w:rFonts w:ascii="Arial Black" w:hAnsi="Arial Black" w:hint="default"/>
      </w:rPr>
    </w:lvl>
    <w:lvl w:ilvl="5">
      <w:start w:val="1"/>
      <w:numFmt w:val="decimal"/>
      <w:isLgl/>
      <w:lvlText w:val="%1.%2.%3.%4.%5.%6"/>
      <w:lvlJc w:val="left"/>
      <w:pPr>
        <w:ind w:left="1440" w:hanging="1080"/>
      </w:pPr>
      <w:rPr>
        <w:rFonts w:ascii="Arial Black" w:hAnsi="Arial Black" w:hint="default"/>
      </w:rPr>
    </w:lvl>
    <w:lvl w:ilvl="6">
      <w:start w:val="1"/>
      <w:numFmt w:val="decimal"/>
      <w:isLgl/>
      <w:lvlText w:val="%1.%2.%3.%4.%5.%6.%7"/>
      <w:lvlJc w:val="left"/>
      <w:pPr>
        <w:ind w:left="1800" w:hanging="1440"/>
      </w:pPr>
      <w:rPr>
        <w:rFonts w:ascii="Arial Black" w:hAnsi="Arial Black" w:hint="default"/>
      </w:rPr>
    </w:lvl>
    <w:lvl w:ilvl="7">
      <w:start w:val="1"/>
      <w:numFmt w:val="decimal"/>
      <w:isLgl/>
      <w:lvlText w:val="%1.%2.%3.%4.%5.%6.%7.%8"/>
      <w:lvlJc w:val="left"/>
      <w:pPr>
        <w:ind w:left="1800" w:hanging="1440"/>
      </w:pPr>
      <w:rPr>
        <w:rFonts w:ascii="Arial Black" w:hAnsi="Arial Black" w:hint="default"/>
      </w:rPr>
    </w:lvl>
    <w:lvl w:ilvl="8">
      <w:start w:val="1"/>
      <w:numFmt w:val="decimal"/>
      <w:isLgl/>
      <w:lvlText w:val="%1.%2.%3.%4.%5.%6.%7.%8.%9"/>
      <w:lvlJc w:val="left"/>
      <w:pPr>
        <w:ind w:left="2160" w:hanging="1800"/>
      </w:pPr>
      <w:rPr>
        <w:rFonts w:ascii="Arial Black" w:hAnsi="Arial Black" w:hint="default"/>
      </w:rPr>
    </w:lvl>
  </w:abstractNum>
  <w:abstractNum w:abstractNumId="27" w15:restartNumberingAfterBreak="0">
    <w:nsid w:val="495D34EC"/>
    <w:multiLevelType w:val="hybridMultilevel"/>
    <w:tmpl w:val="DCE270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9743335"/>
    <w:multiLevelType w:val="hybridMultilevel"/>
    <w:tmpl w:val="7A4ADD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D85364B"/>
    <w:multiLevelType w:val="hybridMultilevel"/>
    <w:tmpl w:val="4D96DB7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0840F8C"/>
    <w:multiLevelType w:val="hybridMultilevel"/>
    <w:tmpl w:val="5A6A17DC"/>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06A4"/>
    <w:multiLevelType w:val="hybridMultilevel"/>
    <w:tmpl w:val="01D489D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711731"/>
    <w:multiLevelType w:val="hybridMultilevel"/>
    <w:tmpl w:val="C3D0A42A"/>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57C32E55"/>
    <w:multiLevelType w:val="hybridMultilevel"/>
    <w:tmpl w:val="3CBEA03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7E53DB3"/>
    <w:multiLevelType w:val="hybridMultilevel"/>
    <w:tmpl w:val="978C3D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8EA5F9E"/>
    <w:multiLevelType w:val="hybridMultilevel"/>
    <w:tmpl w:val="DF9035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57154A"/>
    <w:multiLevelType w:val="hybridMultilevel"/>
    <w:tmpl w:val="E4AAE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C43EC"/>
    <w:multiLevelType w:val="hybridMultilevel"/>
    <w:tmpl w:val="D730FB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B2C0097"/>
    <w:multiLevelType w:val="hybridMultilevel"/>
    <w:tmpl w:val="C1185EE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F796141"/>
    <w:multiLevelType w:val="hybridMultilevel"/>
    <w:tmpl w:val="8F482684"/>
    <w:lvl w:ilvl="0" w:tplc="0408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C026D"/>
    <w:multiLevelType w:val="multilevel"/>
    <w:tmpl w:val="08F8566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2273286"/>
    <w:multiLevelType w:val="hybridMultilevel"/>
    <w:tmpl w:val="0EF4107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22869AE"/>
    <w:multiLevelType w:val="hybridMultilevel"/>
    <w:tmpl w:val="05026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49480D"/>
    <w:multiLevelType w:val="hybridMultilevel"/>
    <w:tmpl w:val="E0081FD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62B16DEC"/>
    <w:multiLevelType w:val="hybridMultilevel"/>
    <w:tmpl w:val="6B08A96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022278"/>
    <w:multiLevelType w:val="hybridMultilevel"/>
    <w:tmpl w:val="F9FCED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7CF4EA0"/>
    <w:multiLevelType w:val="hybridMultilevel"/>
    <w:tmpl w:val="27C05B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72A4902"/>
    <w:multiLevelType w:val="hybridMultilevel"/>
    <w:tmpl w:val="17F2EB8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B065EEA"/>
    <w:multiLevelType w:val="hybridMultilevel"/>
    <w:tmpl w:val="16DE985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E7523AC"/>
    <w:multiLevelType w:val="hybridMultilevel"/>
    <w:tmpl w:val="214E3490"/>
    <w:lvl w:ilvl="0" w:tplc="0408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84545">
    <w:abstractNumId w:val="14"/>
  </w:num>
  <w:num w:numId="2" w16cid:durableId="2082942341">
    <w:abstractNumId w:val="49"/>
  </w:num>
  <w:num w:numId="3" w16cid:durableId="978262920">
    <w:abstractNumId w:val="23"/>
  </w:num>
  <w:num w:numId="4" w16cid:durableId="993410998">
    <w:abstractNumId w:val="24"/>
  </w:num>
  <w:num w:numId="5" w16cid:durableId="178548781">
    <w:abstractNumId w:val="0"/>
  </w:num>
  <w:num w:numId="6" w16cid:durableId="120613094">
    <w:abstractNumId w:val="12"/>
  </w:num>
  <w:num w:numId="7" w16cid:durableId="689262152">
    <w:abstractNumId w:val="41"/>
  </w:num>
  <w:num w:numId="8" w16cid:durableId="1666979026">
    <w:abstractNumId w:val="42"/>
  </w:num>
  <w:num w:numId="9" w16cid:durableId="150606779">
    <w:abstractNumId w:val="46"/>
  </w:num>
  <w:num w:numId="10" w16cid:durableId="1995257048">
    <w:abstractNumId w:val="35"/>
  </w:num>
  <w:num w:numId="11" w16cid:durableId="25299449">
    <w:abstractNumId w:val="25"/>
  </w:num>
  <w:num w:numId="12" w16cid:durableId="821578633">
    <w:abstractNumId w:val="43"/>
  </w:num>
  <w:num w:numId="13" w16cid:durableId="304239998">
    <w:abstractNumId w:val="38"/>
  </w:num>
  <w:num w:numId="14" w16cid:durableId="1577131350">
    <w:abstractNumId w:val="1"/>
  </w:num>
  <w:num w:numId="15" w16cid:durableId="1096748915">
    <w:abstractNumId w:val="19"/>
  </w:num>
  <w:num w:numId="16" w16cid:durableId="1891265968">
    <w:abstractNumId w:val="47"/>
  </w:num>
  <w:num w:numId="17" w16cid:durableId="462424438">
    <w:abstractNumId w:val="11"/>
  </w:num>
  <w:num w:numId="18" w16cid:durableId="271010313">
    <w:abstractNumId w:val="32"/>
  </w:num>
  <w:num w:numId="19" w16cid:durableId="1461655288">
    <w:abstractNumId w:val="30"/>
  </w:num>
  <w:num w:numId="20" w16cid:durableId="92173601">
    <w:abstractNumId w:val="26"/>
  </w:num>
  <w:num w:numId="21" w16cid:durableId="265045956">
    <w:abstractNumId w:val="20"/>
  </w:num>
  <w:num w:numId="22" w16cid:durableId="1413239799">
    <w:abstractNumId w:val="36"/>
  </w:num>
  <w:num w:numId="23" w16cid:durableId="2020621461">
    <w:abstractNumId w:val="17"/>
  </w:num>
  <w:num w:numId="24" w16cid:durableId="1339650591">
    <w:abstractNumId w:val="7"/>
  </w:num>
  <w:num w:numId="25" w16cid:durableId="1346519017">
    <w:abstractNumId w:val="29"/>
  </w:num>
  <w:num w:numId="26" w16cid:durableId="815804185">
    <w:abstractNumId w:val="16"/>
  </w:num>
  <w:num w:numId="27" w16cid:durableId="98644089">
    <w:abstractNumId w:val="5"/>
  </w:num>
  <w:num w:numId="28" w16cid:durableId="168180988">
    <w:abstractNumId w:val="39"/>
  </w:num>
  <w:num w:numId="29" w16cid:durableId="1915047363">
    <w:abstractNumId w:val="48"/>
  </w:num>
  <w:num w:numId="30" w16cid:durableId="837426751">
    <w:abstractNumId w:val="34"/>
  </w:num>
  <w:num w:numId="31" w16cid:durableId="659701998">
    <w:abstractNumId w:val="9"/>
  </w:num>
  <w:num w:numId="32" w16cid:durableId="1071194288">
    <w:abstractNumId w:val="22"/>
  </w:num>
  <w:num w:numId="33" w16cid:durableId="1337687891">
    <w:abstractNumId w:val="44"/>
  </w:num>
  <w:num w:numId="34" w16cid:durableId="367073463">
    <w:abstractNumId w:val="4"/>
  </w:num>
  <w:num w:numId="35" w16cid:durableId="306786178">
    <w:abstractNumId w:val="21"/>
  </w:num>
  <w:num w:numId="36" w16cid:durableId="1489592019">
    <w:abstractNumId w:val="37"/>
  </w:num>
  <w:num w:numId="37" w16cid:durableId="856382626">
    <w:abstractNumId w:val="13"/>
  </w:num>
  <w:num w:numId="38" w16cid:durableId="2008094096">
    <w:abstractNumId w:val="45"/>
  </w:num>
  <w:num w:numId="39" w16cid:durableId="1244795258">
    <w:abstractNumId w:val="3"/>
  </w:num>
  <w:num w:numId="40" w16cid:durableId="85541142">
    <w:abstractNumId w:val="8"/>
  </w:num>
  <w:num w:numId="41" w16cid:durableId="27681618">
    <w:abstractNumId w:val="33"/>
  </w:num>
  <w:num w:numId="42" w16cid:durableId="747383490">
    <w:abstractNumId w:val="28"/>
  </w:num>
  <w:num w:numId="43" w16cid:durableId="1543784461">
    <w:abstractNumId w:val="6"/>
  </w:num>
  <w:num w:numId="44" w16cid:durableId="351154499">
    <w:abstractNumId w:val="10"/>
  </w:num>
  <w:num w:numId="45" w16cid:durableId="1150555877">
    <w:abstractNumId w:val="40"/>
  </w:num>
  <w:num w:numId="46" w16cid:durableId="827093663">
    <w:abstractNumId w:val="15"/>
  </w:num>
  <w:num w:numId="47" w16cid:durableId="513156006">
    <w:abstractNumId w:val="27"/>
  </w:num>
  <w:num w:numId="48" w16cid:durableId="1343703149">
    <w:abstractNumId w:val="18"/>
  </w:num>
  <w:num w:numId="49" w16cid:durableId="675495082">
    <w:abstractNumId w:val="31"/>
  </w:num>
  <w:num w:numId="50" w16cid:durableId="1611812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B0"/>
    <w:rsid w:val="0001385E"/>
    <w:rsid w:val="00016CE3"/>
    <w:rsid w:val="00022EF3"/>
    <w:rsid w:val="00023CB1"/>
    <w:rsid w:val="0002773C"/>
    <w:rsid w:val="000334CE"/>
    <w:rsid w:val="00041203"/>
    <w:rsid w:val="000746C0"/>
    <w:rsid w:val="0008688A"/>
    <w:rsid w:val="00093028"/>
    <w:rsid w:val="0009743D"/>
    <w:rsid w:val="000A0735"/>
    <w:rsid w:val="000A5F3C"/>
    <w:rsid w:val="000A69D0"/>
    <w:rsid w:val="000B1D3F"/>
    <w:rsid w:val="000D1D9E"/>
    <w:rsid w:val="000E32DA"/>
    <w:rsid w:val="000E4D9A"/>
    <w:rsid w:val="000E6218"/>
    <w:rsid w:val="000F0CA1"/>
    <w:rsid w:val="000F1623"/>
    <w:rsid w:val="000F63A5"/>
    <w:rsid w:val="000F6D44"/>
    <w:rsid w:val="000F7332"/>
    <w:rsid w:val="00106335"/>
    <w:rsid w:val="0011757A"/>
    <w:rsid w:val="001229B7"/>
    <w:rsid w:val="0012697C"/>
    <w:rsid w:val="001302C8"/>
    <w:rsid w:val="00147FC0"/>
    <w:rsid w:val="001703C0"/>
    <w:rsid w:val="00186D78"/>
    <w:rsid w:val="0019606F"/>
    <w:rsid w:val="00197241"/>
    <w:rsid w:val="001C4057"/>
    <w:rsid w:val="001C61A2"/>
    <w:rsid w:val="001D6F81"/>
    <w:rsid w:val="001E0A12"/>
    <w:rsid w:val="001F02BC"/>
    <w:rsid w:val="001F05ED"/>
    <w:rsid w:val="00201230"/>
    <w:rsid w:val="00202469"/>
    <w:rsid w:val="002035BE"/>
    <w:rsid w:val="00221A95"/>
    <w:rsid w:val="00222F38"/>
    <w:rsid w:val="00223CB2"/>
    <w:rsid w:val="00224153"/>
    <w:rsid w:val="00230380"/>
    <w:rsid w:val="002315E9"/>
    <w:rsid w:val="00232DC3"/>
    <w:rsid w:val="0026054E"/>
    <w:rsid w:val="00273E53"/>
    <w:rsid w:val="00280A1C"/>
    <w:rsid w:val="00294CBF"/>
    <w:rsid w:val="002A1F89"/>
    <w:rsid w:val="002A42DE"/>
    <w:rsid w:val="002D536C"/>
    <w:rsid w:val="002F2028"/>
    <w:rsid w:val="002F2C6E"/>
    <w:rsid w:val="00305CCF"/>
    <w:rsid w:val="00313FFC"/>
    <w:rsid w:val="0031744A"/>
    <w:rsid w:val="0031768D"/>
    <w:rsid w:val="003177F5"/>
    <w:rsid w:val="00330387"/>
    <w:rsid w:val="00343214"/>
    <w:rsid w:val="00351095"/>
    <w:rsid w:val="00363F82"/>
    <w:rsid w:val="003853F0"/>
    <w:rsid w:val="00395DA7"/>
    <w:rsid w:val="003B208B"/>
    <w:rsid w:val="003D19B3"/>
    <w:rsid w:val="003F4565"/>
    <w:rsid w:val="003F51A6"/>
    <w:rsid w:val="004167BA"/>
    <w:rsid w:val="0042182D"/>
    <w:rsid w:val="00430256"/>
    <w:rsid w:val="00431D52"/>
    <w:rsid w:val="00444BB0"/>
    <w:rsid w:val="00451511"/>
    <w:rsid w:val="00464AB5"/>
    <w:rsid w:val="00480925"/>
    <w:rsid w:val="00485613"/>
    <w:rsid w:val="004943CE"/>
    <w:rsid w:val="004B4291"/>
    <w:rsid w:val="004B57EF"/>
    <w:rsid w:val="004C0276"/>
    <w:rsid w:val="004C1B13"/>
    <w:rsid w:val="004C1D70"/>
    <w:rsid w:val="004E2925"/>
    <w:rsid w:val="004E59E8"/>
    <w:rsid w:val="004F0CA7"/>
    <w:rsid w:val="004F5A62"/>
    <w:rsid w:val="00502394"/>
    <w:rsid w:val="005257CC"/>
    <w:rsid w:val="005270AF"/>
    <w:rsid w:val="00563E85"/>
    <w:rsid w:val="00570B5C"/>
    <w:rsid w:val="005742C6"/>
    <w:rsid w:val="005A1972"/>
    <w:rsid w:val="005B72C9"/>
    <w:rsid w:val="005C0D83"/>
    <w:rsid w:val="005C477D"/>
    <w:rsid w:val="005C4E5D"/>
    <w:rsid w:val="005D34C8"/>
    <w:rsid w:val="005D4E69"/>
    <w:rsid w:val="005E1811"/>
    <w:rsid w:val="005F2C02"/>
    <w:rsid w:val="006056B3"/>
    <w:rsid w:val="00607CA6"/>
    <w:rsid w:val="00615F92"/>
    <w:rsid w:val="00631C6B"/>
    <w:rsid w:val="006453BE"/>
    <w:rsid w:val="006524B1"/>
    <w:rsid w:val="006537DA"/>
    <w:rsid w:val="00654A9C"/>
    <w:rsid w:val="00673F05"/>
    <w:rsid w:val="00695B7C"/>
    <w:rsid w:val="006A4BDC"/>
    <w:rsid w:val="006C06B7"/>
    <w:rsid w:val="006C4F2B"/>
    <w:rsid w:val="006C544E"/>
    <w:rsid w:val="006D22B1"/>
    <w:rsid w:val="006E14E5"/>
    <w:rsid w:val="00705B12"/>
    <w:rsid w:val="007203F1"/>
    <w:rsid w:val="00734CBE"/>
    <w:rsid w:val="00772231"/>
    <w:rsid w:val="00793F7E"/>
    <w:rsid w:val="007A4C7B"/>
    <w:rsid w:val="007C4C8A"/>
    <w:rsid w:val="007D1ECB"/>
    <w:rsid w:val="007D7F8A"/>
    <w:rsid w:val="007F1556"/>
    <w:rsid w:val="00802C33"/>
    <w:rsid w:val="00823526"/>
    <w:rsid w:val="00825F74"/>
    <w:rsid w:val="00827D9A"/>
    <w:rsid w:val="00833CF5"/>
    <w:rsid w:val="00835521"/>
    <w:rsid w:val="008414D9"/>
    <w:rsid w:val="008416F9"/>
    <w:rsid w:val="008432FC"/>
    <w:rsid w:val="0086702A"/>
    <w:rsid w:val="00872277"/>
    <w:rsid w:val="0088305E"/>
    <w:rsid w:val="008932D2"/>
    <w:rsid w:val="00893B34"/>
    <w:rsid w:val="008B7451"/>
    <w:rsid w:val="008D2743"/>
    <w:rsid w:val="008D7B6E"/>
    <w:rsid w:val="008E0852"/>
    <w:rsid w:val="008E62B0"/>
    <w:rsid w:val="008F2A71"/>
    <w:rsid w:val="008F4CE3"/>
    <w:rsid w:val="00902CB3"/>
    <w:rsid w:val="00907597"/>
    <w:rsid w:val="00907F28"/>
    <w:rsid w:val="0091648A"/>
    <w:rsid w:val="00917BDB"/>
    <w:rsid w:val="009204E2"/>
    <w:rsid w:val="00920754"/>
    <w:rsid w:val="009359B9"/>
    <w:rsid w:val="00945C63"/>
    <w:rsid w:val="009522B2"/>
    <w:rsid w:val="0095570B"/>
    <w:rsid w:val="00976CE6"/>
    <w:rsid w:val="009773F4"/>
    <w:rsid w:val="00981575"/>
    <w:rsid w:val="0099151D"/>
    <w:rsid w:val="0099363E"/>
    <w:rsid w:val="009A0095"/>
    <w:rsid w:val="009A0A54"/>
    <w:rsid w:val="009A62E7"/>
    <w:rsid w:val="009A7790"/>
    <w:rsid w:val="009B28BA"/>
    <w:rsid w:val="009B2C60"/>
    <w:rsid w:val="009D24C2"/>
    <w:rsid w:val="009F48E8"/>
    <w:rsid w:val="009F5740"/>
    <w:rsid w:val="009F5F0E"/>
    <w:rsid w:val="009F644D"/>
    <w:rsid w:val="00A04CEA"/>
    <w:rsid w:val="00A16F97"/>
    <w:rsid w:val="00A17FB2"/>
    <w:rsid w:val="00A27123"/>
    <w:rsid w:val="00A30D11"/>
    <w:rsid w:val="00A31443"/>
    <w:rsid w:val="00A43B0B"/>
    <w:rsid w:val="00A51C1F"/>
    <w:rsid w:val="00A628FE"/>
    <w:rsid w:val="00A66165"/>
    <w:rsid w:val="00A706B2"/>
    <w:rsid w:val="00A70BAF"/>
    <w:rsid w:val="00A72261"/>
    <w:rsid w:val="00A7310E"/>
    <w:rsid w:val="00A85258"/>
    <w:rsid w:val="00A920BF"/>
    <w:rsid w:val="00AA2BF2"/>
    <w:rsid w:val="00AB0B8C"/>
    <w:rsid w:val="00AC33B5"/>
    <w:rsid w:val="00AD2800"/>
    <w:rsid w:val="00AD6621"/>
    <w:rsid w:val="00AE5A21"/>
    <w:rsid w:val="00AF380D"/>
    <w:rsid w:val="00AF435F"/>
    <w:rsid w:val="00AF6214"/>
    <w:rsid w:val="00B0744D"/>
    <w:rsid w:val="00B30A73"/>
    <w:rsid w:val="00B323E3"/>
    <w:rsid w:val="00B404BD"/>
    <w:rsid w:val="00B52D28"/>
    <w:rsid w:val="00B6230D"/>
    <w:rsid w:val="00B6314E"/>
    <w:rsid w:val="00BA161D"/>
    <w:rsid w:val="00BA571D"/>
    <w:rsid w:val="00BC1B15"/>
    <w:rsid w:val="00BE01F4"/>
    <w:rsid w:val="00BE54F4"/>
    <w:rsid w:val="00BE5962"/>
    <w:rsid w:val="00BF3226"/>
    <w:rsid w:val="00BF4AE0"/>
    <w:rsid w:val="00C17545"/>
    <w:rsid w:val="00C2240F"/>
    <w:rsid w:val="00C2553A"/>
    <w:rsid w:val="00C34236"/>
    <w:rsid w:val="00C35F5C"/>
    <w:rsid w:val="00C4795B"/>
    <w:rsid w:val="00C9044F"/>
    <w:rsid w:val="00C92188"/>
    <w:rsid w:val="00C9519A"/>
    <w:rsid w:val="00C95F03"/>
    <w:rsid w:val="00C96013"/>
    <w:rsid w:val="00CB3B28"/>
    <w:rsid w:val="00CB5A12"/>
    <w:rsid w:val="00CC4882"/>
    <w:rsid w:val="00CE0BCD"/>
    <w:rsid w:val="00CE36B0"/>
    <w:rsid w:val="00CE67F7"/>
    <w:rsid w:val="00D16D21"/>
    <w:rsid w:val="00D20BF5"/>
    <w:rsid w:val="00D33787"/>
    <w:rsid w:val="00D373E7"/>
    <w:rsid w:val="00D5122D"/>
    <w:rsid w:val="00D51502"/>
    <w:rsid w:val="00D56BBF"/>
    <w:rsid w:val="00D56D1A"/>
    <w:rsid w:val="00D60E3D"/>
    <w:rsid w:val="00D73B0F"/>
    <w:rsid w:val="00D77179"/>
    <w:rsid w:val="00D85689"/>
    <w:rsid w:val="00D915A8"/>
    <w:rsid w:val="00DA58ED"/>
    <w:rsid w:val="00DA6AF0"/>
    <w:rsid w:val="00DC1B21"/>
    <w:rsid w:val="00DE427E"/>
    <w:rsid w:val="00DE6CF0"/>
    <w:rsid w:val="00DF0EB5"/>
    <w:rsid w:val="00DF68B4"/>
    <w:rsid w:val="00E00536"/>
    <w:rsid w:val="00E06BCB"/>
    <w:rsid w:val="00E220A1"/>
    <w:rsid w:val="00E341F8"/>
    <w:rsid w:val="00E35626"/>
    <w:rsid w:val="00E41355"/>
    <w:rsid w:val="00E655A7"/>
    <w:rsid w:val="00E85AD4"/>
    <w:rsid w:val="00E9068B"/>
    <w:rsid w:val="00E934F8"/>
    <w:rsid w:val="00EA3FF2"/>
    <w:rsid w:val="00EB06CA"/>
    <w:rsid w:val="00EB2DD4"/>
    <w:rsid w:val="00EB4D60"/>
    <w:rsid w:val="00EB6B1A"/>
    <w:rsid w:val="00EC0B2A"/>
    <w:rsid w:val="00EC3AA5"/>
    <w:rsid w:val="00ED02DE"/>
    <w:rsid w:val="00EE38A5"/>
    <w:rsid w:val="00EE669E"/>
    <w:rsid w:val="00F03D7A"/>
    <w:rsid w:val="00F05DEE"/>
    <w:rsid w:val="00F15E6A"/>
    <w:rsid w:val="00F27925"/>
    <w:rsid w:val="00F36849"/>
    <w:rsid w:val="00F41FC6"/>
    <w:rsid w:val="00F55BEB"/>
    <w:rsid w:val="00F5699F"/>
    <w:rsid w:val="00F63CC9"/>
    <w:rsid w:val="00F77A90"/>
    <w:rsid w:val="00F82617"/>
    <w:rsid w:val="00F91D9D"/>
    <w:rsid w:val="00F94E37"/>
    <w:rsid w:val="00F97B7F"/>
    <w:rsid w:val="00FC4F41"/>
    <w:rsid w:val="00FD1035"/>
    <w:rsid w:val="00FD6F62"/>
    <w:rsid w:val="00FE3D40"/>
    <w:rsid w:val="00FF0818"/>
    <w:rsid w:val="00FF1345"/>
    <w:rsid w:val="00FF7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9C63"/>
  <w15:docId w15:val="{30354C87-8414-4A66-AE1B-D7561100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7F7"/>
  </w:style>
  <w:style w:type="paragraph" w:styleId="1">
    <w:name w:val="heading 1"/>
    <w:basedOn w:val="a"/>
    <w:next w:val="a"/>
    <w:link w:val="1Char"/>
    <w:uiPriority w:val="9"/>
    <w:qFormat/>
    <w:rsid w:val="006056B3"/>
    <w:pPr>
      <w:keepNext/>
      <w:keepLines/>
      <w:spacing w:before="240" w:after="0"/>
      <w:outlineLvl w:val="0"/>
    </w:pPr>
    <w:rPr>
      <w:rFonts w:asciiTheme="majorHAnsi" w:eastAsiaTheme="majorEastAsia" w:hAnsiTheme="majorHAnsi" w:cstheme="majorBidi"/>
      <w:color w:val="C00000"/>
      <w:sz w:val="32"/>
      <w:szCs w:val="32"/>
    </w:rPr>
  </w:style>
  <w:style w:type="paragraph" w:styleId="2">
    <w:name w:val="heading 2"/>
    <w:basedOn w:val="a"/>
    <w:next w:val="a"/>
    <w:link w:val="2Char"/>
    <w:uiPriority w:val="9"/>
    <w:unhideWhenUsed/>
    <w:qFormat/>
    <w:rsid w:val="00343214"/>
    <w:pPr>
      <w:keepNext/>
      <w:keepLines/>
      <w:spacing w:before="40" w:after="0"/>
      <w:outlineLvl w:val="1"/>
    </w:pPr>
    <w:rPr>
      <w:rFonts w:asciiTheme="majorHAnsi" w:eastAsiaTheme="majorEastAsia" w:hAnsiTheme="majorHAnsi" w:cstheme="majorBidi"/>
      <w:color w:val="C00000"/>
      <w:sz w:val="26"/>
      <w:szCs w:val="26"/>
    </w:rPr>
  </w:style>
  <w:style w:type="paragraph" w:styleId="3">
    <w:name w:val="heading 3"/>
    <w:basedOn w:val="a"/>
    <w:next w:val="a"/>
    <w:link w:val="3Char"/>
    <w:uiPriority w:val="9"/>
    <w:semiHidden/>
    <w:unhideWhenUsed/>
    <w:qFormat/>
    <w:rsid w:val="00EB4D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D2800"/>
    <w:pPr>
      <w:ind w:left="720"/>
      <w:contextualSpacing/>
    </w:pPr>
  </w:style>
  <w:style w:type="character" w:customStyle="1" w:styleId="1Char">
    <w:name w:val="Επικεφαλίδα 1 Char"/>
    <w:basedOn w:val="a0"/>
    <w:link w:val="1"/>
    <w:uiPriority w:val="9"/>
    <w:rsid w:val="006056B3"/>
    <w:rPr>
      <w:rFonts w:asciiTheme="majorHAnsi" w:eastAsiaTheme="majorEastAsia" w:hAnsiTheme="majorHAnsi" w:cstheme="majorBidi"/>
      <w:color w:val="C00000"/>
      <w:sz w:val="32"/>
      <w:szCs w:val="32"/>
    </w:rPr>
  </w:style>
  <w:style w:type="character" w:customStyle="1" w:styleId="2Char">
    <w:name w:val="Επικεφαλίδα 2 Char"/>
    <w:basedOn w:val="a0"/>
    <w:link w:val="2"/>
    <w:uiPriority w:val="9"/>
    <w:rsid w:val="00343214"/>
    <w:rPr>
      <w:rFonts w:asciiTheme="majorHAnsi" w:eastAsiaTheme="majorEastAsia" w:hAnsiTheme="majorHAnsi" w:cstheme="majorBidi"/>
      <w:color w:val="C00000"/>
      <w:sz w:val="26"/>
      <w:szCs w:val="26"/>
    </w:rPr>
  </w:style>
  <w:style w:type="character" w:customStyle="1" w:styleId="Char">
    <w:name w:val="Παράγραφος λίστας Char"/>
    <w:link w:val="a3"/>
    <w:uiPriority w:val="34"/>
    <w:locked/>
    <w:rsid w:val="005F2C02"/>
  </w:style>
  <w:style w:type="paragraph" w:styleId="a4">
    <w:name w:val="footnote text"/>
    <w:basedOn w:val="a"/>
    <w:link w:val="Char0"/>
    <w:uiPriority w:val="99"/>
    <w:semiHidden/>
    <w:unhideWhenUsed/>
    <w:rsid w:val="00D33787"/>
    <w:pPr>
      <w:spacing w:after="0" w:line="240" w:lineRule="auto"/>
    </w:pPr>
    <w:rPr>
      <w:sz w:val="20"/>
      <w:szCs w:val="20"/>
    </w:rPr>
  </w:style>
  <w:style w:type="character" w:customStyle="1" w:styleId="Char0">
    <w:name w:val="Κείμενο υποσημείωσης Char"/>
    <w:basedOn w:val="a0"/>
    <w:link w:val="a4"/>
    <w:uiPriority w:val="99"/>
    <w:semiHidden/>
    <w:rsid w:val="00D33787"/>
    <w:rPr>
      <w:sz w:val="20"/>
      <w:szCs w:val="20"/>
    </w:rPr>
  </w:style>
  <w:style w:type="character" w:styleId="a5">
    <w:name w:val="footnote reference"/>
    <w:basedOn w:val="a0"/>
    <w:uiPriority w:val="99"/>
    <w:semiHidden/>
    <w:unhideWhenUsed/>
    <w:rsid w:val="00D33787"/>
    <w:rPr>
      <w:vertAlign w:val="superscript"/>
    </w:rPr>
  </w:style>
  <w:style w:type="paragraph" w:styleId="a6">
    <w:name w:val="header"/>
    <w:basedOn w:val="a"/>
    <w:link w:val="Char1"/>
    <w:uiPriority w:val="99"/>
    <w:unhideWhenUsed/>
    <w:rsid w:val="003177F5"/>
    <w:pPr>
      <w:tabs>
        <w:tab w:val="center" w:pos="4320"/>
        <w:tab w:val="right" w:pos="8640"/>
      </w:tabs>
      <w:spacing w:after="0" w:line="240" w:lineRule="auto"/>
    </w:pPr>
  </w:style>
  <w:style w:type="character" w:customStyle="1" w:styleId="Char1">
    <w:name w:val="Κεφαλίδα Char"/>
    <w:basedOn w:val="a0"/>
    <w:link w:val="a6"/>
    <w:uiPriority w:val="99"/>
    <w:rsid w:val="003177F5"/>
  </w:style>
  <w:style w:type="paragraph" w:styleId="a7">
    <w:name w:val="footer"/>
    <w:basedOn w:val="a"/>
    <w:link w:val="Char2"/>
    <w:uiPriority w:val="99"/>
    <w:unhideWhenUsed/>
    <w:rsid w:val="003177F5"/>
    <w:pPr>
      <w:tabs>
        <w:tab w:val="center" w:pos="4320"/>
        <w:tab w:val="right" w:pos="8640"/>
      </w:tabs>
      <w:spacing w:after="0" w:line="240" w:lineRule="auto"/>
    </w:pPr>
  </w:style>
  <w:style w:type="character" w:customStyle="1" w:styleId="Char2">
    <w:name w:val="Υποσέλιδο Char"/>
    <w:basedOn w:val="a0"/>
    <w:link w:val="a7"/>
    <w:uiPriority w:val="99"/>
    <w:rsid w:val="003177F5"/>
  </w:style>
  <w:style w:type="paragraph" w:styleId="a8">
    <w:name w:val="Balloon Text"/>
    <w:basedOn w:val="a"/>
    <w:link w:val="Char3"/>
    <w:uiPriority w:val="99"/>
    <w:semiHidden/>
    <w:unhideWhenUsed/>
    <w:rsid w:val="00981575"/>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981575"/>
    <w:rPr>
      <w:rFonts w:ascii="Tahoma" w:hAnsi="Tahoma" w:cs="Tahoma"/>
      <w:sz w:val="16"/>
      <w:szCs w:val="16"/>
    </w:rPr>
  </w:style>
  <w:style w:type="table" w:styleId="a9">
    <w:name w:val="Table Grid"/>
    <w:basedOn w:val="a1"/>
    <w:uiPriority w:val="39"/>
    <w:rsid w:val="007D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Char4"/>
    <w:uiPriority w:val="10"/>
    <w:qFormat/>
    <w:rsid w:val="00EC0B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4">
    <w:name w:val="Τίτλος Char"/>
    <w:basedOn w:val="a0"/>
    <w:link w:val="aa"/>
    <w:uiPriority w:val="10"/>
    <w:rsid w:val="00016CE3"/>
    <w:rPr>
      <w:rFonts w:asciiTheme="majorHAnsi" w:eastAsiaTheme="majorEastAsia" w:hAnsiTheme="majorHAnsi" w:cstheme="majorBidi"/>
      <w:color w:val="323E4F" w:themeColor="text2" w:themeShade="BF"/>
      <w:spacing w:val="5"/>
      <w:kern w:val="28"/>
      <w:sz w:val="52"/>
      <w:szCs w:val="52"/>
    </w:rPr>
  </w:style>
  <w:style w:type="character" w:customStyle="1" w:styleId="3Char">
    <w:name w:val="Επικεφαλίδα 3 Char"/>
    <w:basedOn w:val="a0"/>
    <w:link w:val="3"/>
    <w:uiPriority w:val="9"/>
    <w:semiHidden/>
    <w:rsid w:val="00EB4D60"/>
    <w:rPr>
      <w:rFonts w:asciiTheme="majorHAnsi" w:eastAsiaTheme="majorEastAsia" w:hAnsiTheme="majorHAnsi" w:cstheme="majorBidi"/>
      <w:b/>
      <w:bCs/>
      <w:color w:val="4472C4" w:themeColor="accent1"/>
    </w:rPr>
  </w:style>
  <w:style w:type="paragraph" w:styleId="ab">
    <w:name w:val="No Spacing"/>
    <w:uiPriority w:val="1"/>
    <w:qFormat/>
    <w:rsid w:val="00EC0B2A"/>
    <w:pPr>
      <w:spacing w:after="0" w:line="240" w:lineRule="auto"/>
    </w:pPr>
  </w:style>
  <w:style w:type="paragraph" w:customStyle="1" w:styleId="Default">
    <w:name w:val="Default"/>
    <w:rsid w:val="00EB4D60"/>
    <w:pPr>
      <w:autoSpaceDE w:val="0"/>
      <w:autoSpaceDN w:val="0"/>
      <w:adjustRightInd w:val="0"/>
      <w:spacing w:after="0" w:line="240" w:lineRule="auto"/>
    </w:pPr>
    <w:rPr>
      <w:rFonts w:ascii="Calibri" w:hAnsi="Calibri" w:cs="Calibri"/>
      <w:color w:val="000000"/>
      <w:sz w:val="24"/>
      <w:szCs w:val="24"/>
    </w:rPr>
  </w:style>
  <w:style w:type="paragraph" w:customStyle="1" w:styleId="Basic">
    <w:name w:val="Basic"/>
    <w:basedOn w:val="a"/>
    <w:rsid w:val="00EB4D60"/>
    <w:pPr>
      <w:suppressAutoHyphens/>
      <w:spacing w:after="120" w:line="240" w:lineRule="auto"/>
      <w:jc w:val="both"/>
    </w:pPr>
    <w:rPr>
      <w:rFonts w:ascii="Times New Roman" w:eastAsia="Times New Roman" w:hAnsi="Times New Roman" w:cs="Times New Roman"/>
      <w:lang w:val="el-GR" w:eastAsia="ar-SA"/>
    </w:rPr>
  </w:style>
  <w:style w:type="paragraph" w:styleId="ac">
    <w:name w:val="Subtitle"/>
    <w:basedOn w:val="a"/>
    <w:next w:val="a"/>
    <w:link w:val="Char5"/>
    <w:uiPriority w:val="11"/>
    <w:qFormat/>
    <w:rsid w:val="00EB4D6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5">
    <w:name w:val="Υπότιτλος Char"/>
    <w:basedOn w:val="a0"/>
    <w:link w:val="ac"/>
    <w:uiPriority w:val="11"/>
    <w:rsid w:val="00EB4D60"/>
    <w:rPr>
      <w:rFonts w:asciiTheme="majorHAnsi" w:eastAsiaTheme="majorEastAsia" w:hAnsiTheme="majorHAnsi" w:cstheme="majorBidi"/>
      <w:i/>
      <w:iCs/>
      <w:color w:val="4472C4" w:themeColor="accent1"/>
      <w:spacing w:val="15"/>
      <w:sz w:val="24"/>
      <w:szCs w:val="24"/>
    </w:rPr>
  </w:style>
  <w:style w:type="paragraph" w:styleId="ad">
    <w:name w:val="TOC Heading"/>
    <w:basedOn w:val="1"/>
    <w:next w:val="a"/>
    <w:uiPriority w:val="39"/>
    <w:semiHidden/>
    <w:unhideWhenUsed/>
    <w:qFormat/>
    <w:rsid w:val="00A30D11"/>
    <w:pPr>
      <w:spacing w:before="480" w:line="276" w:lineRule="auto"/>
      <w:outlineLvl w:val="9"/>
    </w:pPr>
    <w:rPr>
      <w:b/>
      <w:bCs/>
      <w:color w:val="2F5496" w:themeColor="accent1" w:themeShade="BF"/>
      <w:sz w:val="28"/>
      <w:szCs w:val="28"/>
      <w:lang w:val="el-GR"/>
    </w:rPr>
  </w:style>
  <w:style w:type="paragraph" w:styleId="20">
    <w:name w:val="toc 2"/>
    <w:basedOn w:val="a"/>
    <w:next w:val="a"/>
    <w:autoRedefine/>
    <w:uiPriority w:val="39"/>
    <w:unhideWhenUsed/>
    <w:rsid w:val="00A30D11"/>
    <w:pPr>
      <w:spacing w:after="100"/>
      <w:ind w:left="220"/>
    </w:pPr>
  </w:style>
  <w:style w:type="paragraph" w:styleId="10">
    <w:name w:val="toc 1"/>
    <w:basedOn w:val="a"/>
    <w:next w:val="a"/>
    <w:autoRedefine/>
    <w:uiPriority w:val="39"/>
    <w:unhideWhenUsed/>
    <w:rsid w:val="00A30D11"/>
    <w:pPr>
      <w:spacing w:after="100"/>
    </w:pPr>
  </w:style>
  <w:style w:type="character" w:styleId="-">
    <w:name w:val="Hyperlink"/>
    <w:basedOn w:val="a0"/>
    <w:uiPriority w:val="99"/>
    <w:unhideWhenUsed/>
    <w:rsid w:val="00A30D11"/>
    <w:rPr>
      <w:color w:val="0563C1" w:themeColor="hyperlink"/>
      <w:u w:val="single"/>
    </w:rPr>
  </w:style>
  <w:style w:type="character" w:styleId="ae">
    <w:name w:val="Placeholder Text"/>
    <w:basedOn w:val="a0"/>
    <w:uiPriority w:val="99"/>
    <w:semiHidden/>
    <w:rsid w:val="008F2A71"/>
    <w:rPr>
      <w:color w:val="808080"/>
    </w:rPr>
  </w:style>
  <w:style w:type="character" w:customStyle="1" w:styleId="11">
    <w:name w:val="Ανεπίλυτη αναφορά1"/>
    <w:basedOn w:val="a0"/>
    <w:uiPriority w:val="99"/>
    <w:semiHidden/>
    <w:unhideWhenUsed/>
    <w:rsid w:val="0079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0525">
      <w:bodyDiv w:val="1"/>
      <w:marLeft w:val="0"/>
      <w:marRight w:val="0"/>
      <w:marTop w:val="0"/>
      <w:marBottom w:val="0"/>
      <w:divBdr>
        <w:top w:val="none" w:sz="0" w:space="0" w:color="auto"/>
        <w:left w:val="none" w:sz="0" w:space="0" w:color="auto"/>
        <w:bottom w:val="none" w:sz="0" w:space="0" w:color="auto"/>
        <w:right w:val="none" w:sz="0" w:space="0" w:color="auto"/>
      </w:divBdr>
    </w:div>
    <w:div w:id="597904743">
      <w:bodyDiv w:val="1"/>
      <w:marLeft w:val="0"/>
      <w:marRight w:val="0"/>
      <w:marTop w:val="0"/>
      <w:marBottom w:val="0"/>
      <w:divBdr>
        <w:top w:val="none" w:sz="0" w:space="0" w:color="auto"/>
        <w:left w:val="none" w:sz="0" w:space="0" w:color="auto"/>
        <w:bottom w:val="none" w:sz="0" w:space="0" w:color="auto"/>
        <w:right w:val="none" w:sz="0" w:space="0" w:color="auto"/>
      </w:divBdr>
    </w:div>
    <w:div w:id="913927540">
      <w:bodyDiv w:val="1"/>
      <w:marLeft w:val="0"/>
      <w:marRight w:val="0"/>
      <w:marTop w:val="0"/>
      <w:marBottom w:val="0"/>
      <w:divBdr>
        <w:top w:val="none" w:sz="0" w:space="0" w:color="auto"/>
        <w:left w:val="none" w:sz="0" w:space="0" w:color="auto"/>
        <w:bottom w:val="none" w:sz="0" w:space="0" w:color="auto"/>
        <w:right w:val="none" w:sz="0" w:space="0" w:color="auto"/>
      </w:divBdr>
    </w:div>
    <w:div w:id="16926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mie.gr/sites/default/files/diaboyleyseis/attached-files2020/10/%CE%A4%CE%B5%CF%87%CE%BD%CE%B9%CE%BA%CE%AE%20%CE%91%CF%80%CF%8C%CF%86%CE%B1%CF%83%CE%B7%20%CE%B1%CF%85%CF%84%CF%8C%CE%BC%CE%B1%CF%84%CE%B7%CF%82%20%CE%95%CF%86%CE%B5%CE%B4%CF%81%CE%B5%CE%AF%CE%B1%CF%82%20%CE%91%CF%80%CE%BF%CE%BA%CE%B1%CF%84%CE%AC%CF%83%CF%84%CE%B1%CF%83%CE%B7%CF%82%20%CE%A3%CF%85%CF%87%CE%BD%CF%8C%CF%84%CE%B7%CF%84%CE%B1%CF%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731984-AF96-41B8-A716-754CB774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6228</Words>
  <Characters>33635</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Dimitropoulos</dc:creator>
  <cp:lastModifiedBy>Nikolaos Kantas</cp:lastModifiedBy>
  <cp:revision>4</cp:revision>
  <cp:lastPrinted>2022-04-14T14:58:00Z</cp:lastPrinted>
  <dcterms:created xsi:type="dcterms:W3CDTF">2022-04-14T15:00:00Z</dcterms:created>
  <dcterms:modified xsi:type="dcterms:W3CDTF">2022-04-15T08:29:00Z</dcterms:modified>
</cp:coreProperties>
</file>