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D2A9" w14:textId="77777777" w:rsidR="003A39E4" w:rsidRPr="00AE35C2" w:rsidRDefault="003A39E4" w:rsidP="00570B99">
      <w:pPr>
        <w:spacing w:line="276" w:lineRule="auto"/>
        <w:jc w:val="center"/>
      </w:pPr>
      <w:r w:rsidRPr="00AE35C2">
        <w:rPr>
          <w:b/>
          <w:sz w:val="28"/>
          <w:szCs w:val="28"/>
        </w:rPr>
        <w:t xml:space="preserve">Καθορισμός του ανώτατου επιτρεπόμενου ορίου λογαριασμού ασφάλειας εφοδιασμού και </w:t>
      </w:r>
      <w:proofErr w:type="spellStart"/>
      <w:r w:rsidRPr="00AE35C2">
        <w:rPr>
          <w:b/>
          <w:sz w:val="28"/>
          <w:szCs w:val="28"/>
        </w:rPr>
        <w:t>μοναδιαίου</w:t>
      </w:r>
      <w:proofErr w:type="spellEnd"/>
      <w:r w:rsidRPr="00AE35C2">
        <w:rPr>
          <w:b/>
          <w:sz w:val="28"/>
          <w:szCs w:val="28"/>
        </w:rPr>
        <w:t xml:space="preserve"> τέλους ασφάλειας εφοδιασμού ανά κατηγορία Πελατών φυσικού αερίου για τη χρηματοδότηση των μέτρων του Σχεδίου Προληπτικής Δράσης 2022</w:t>
      </w:r>
    </w:p>
    <w:p w14:paraId="4409809A" w14:textId="77777777" w:rsidR="003A39E4" w:rsidRPr="00AE35C2" w:rsidRDefault="003A39E4" w:rsidP="00570B99">
      <w:pPr>
        <w:spacing w:line="276" w:lineRule="auto"/>
        <w:jc w:val="both"/>
      </w:pPr>
    </w:p>
    <w:p w14:paraId="38702B51" w14:textId="66B1D5F9" w:rsidR="003A39E4" w:rsidRPr="00AE35C2" w:rsidRDefault="003A39E4" w:rsidP="00570B99">
      <w:pPr>
        <w:pStyle w:val="a7"/>
        <w:numPr>
          <w:ilvl w:val="0"/>
          <w:numId w:val="4"/>
        </w:numPr>
        <w:tabs>
          <w:tab w:val="left" w:pos="426"/>
        </w:tabs>
        <w:spacing w:before="120" w:after="120" w:line="276" w:lineRule="auto"/>
        <w:ind w:left="425" w:hanging="425"/>
        <w:contextualSpacing w:val="0"/>
        <w:jc w:val="both"/>
        <w:rPr>
          <w:b/>
          <w:bCs/>
        </w:rPr>
      </w:pPr>
      <w:r w:rsidRPr="00AE35C2">
        <w:t xml:space="preserve">Ο σκοπός του παρόντος έγκειται στον εκ νέου προϋπολογισμό των στοιχείων του κόστους των δράσεων που προβλέπονται για την κατοχύρωση της ασφάλειας εφοδιασμού με φυσικό αέριο στο κείμενο νομοθετικό και ρυθμιστικό πλαίσιο, επί τη βάσει των εν ισχύ πραγματικών και νομικών δεδομένων, για τον καθορισμό του ύψους του </w:t>
      </w:r>
      <w:proofErr w:type="spellStart"/>
      <w:r w:rsidRPr="00AE35C2">
        <w:t>μοναδιαίου</w:t>
      </w:r>
      <w:proofErr w:type="spellEnd"/>
      <w:r w:rsidRPr="00AE35C2">
        <w:t xml:space="preserve"> </w:t>
      </w:r>
      <w:r w:rsidR="00BD4D36">
        <w:t>Τ</w:t>
      </w:r>
      <w:r w:rsidRPr="00AE35C2">
        <w:t xml:space="preserve">έλους </w:t>
      </w:r>
      <w:r w:rsidR="00BD4D36">
        <w:t>Α</w:t>
      </w:r>
      <w:r w:rsidRPr="00AE35C2">
        <w:t xml:space="preserve">σφάλειας </w:t>
      </w:r>
      <w:r w:rsidR="00BD4D36">
        <w:t>Ε</w:t>
      </w:r>
      <w:r w:rsidRPr="00AE35C2">
        <w:t xml:space="preserve">φοδιασμού </w:t>
      </w:r>
      <w:r w:rsidR="00BD4D36">
        <w:t xml:space="preserve">(ΤΑΕ) </w:t>
      </w:r>
      <w:r w:rsidRPr="00AE35C2">
        <w:t>που καταβάλλεται από κάθε κατηγορία Πελατών Φυσικού Αερίου, το επιτρεπόμενο ανώτατο όριο του λογαριασμού ασφάλειας εφοδιασμού, καθώς και τους αναγκαίους όρους και προϋποθέσεις για τη χρηματοδότηση των μέτρων του Σχεδίου Προληπτικής Δράσης, σύμφωνα με τις διατάξεις του άρθρου 73 του ν. 4001/2011, όπως ισχύει.</w:t>
      </w:r>
      <w:r w:rsidRPr="00AE35C2">
        <w:rPr>
          <w:b/>
          <w:bCs/>
        </w:rPr>
        <w:t xml:space="preserve"> </w:t>
      </w:r>
    </w:p>
    <w:p w14:paraId="423A991E" w14:textId="01ED71D4" w:rsidR="003A39E4" w:rsidRPr="00AE35C2" w:rsidRDefault="003A39E4" w:rsidP="00570B99">
      <w:pPr>
        <w:pStyle w:val="a7"/>
        <w:numPr>
          <w:ilvl w:val="0"/>
          <w:numId w:val="4"/>
        </w:numPr>
        <w:tabs>
          <w:tab w:val="left" w:pos="426"/>
        </w:tabs>
        <w:spacing w:before="120" w:after="120" w:line="276" w:lineRule="auto"/>
        <w:ind w:left="425" w:hanging="425"/>
        <w:contextualSpacing w:val="0"/>
        <w:jc w:val="both"/>
        <w:rPr>
          <w:b/>
          <w:bCs/>
        </w:rPr>
      </w:pPr>
      <w:r w:rsidRPr="00AE35C2">
        <w:t xml:space="preserve">Τα στοιχεία που έχει επί του παρόντος η Αρχή στη διάθεσή της επιτρέπουν μεν τον προϋπολογισμό των στοιχείων του κόστους που προβλέπονται στο εγκεκριμένο </w:t>
      </w:r>
      <w:r w:rsidR="005B6440" w:rsidRPr="00AE35C2">
        <w:t xml:space="preserve">με την υπ’ </w:t>
      </w:r>
      <w:proofErr w:type="spellStart"/>
      <w:r w:rsidR="005B6440" w:rsidRPr="00AE35C2">
        <w:t>αριθμ</w:t>
      </w:r>
      <w:proofErr w:type="spellEnd"/>
      <w:r w:rsidR="005B6440" w:rsidRPr="00AE35C2">
        <w:t xml:space="preserve">. Απόφαση της ΡΑΕ 672/2022 </w:t>
      </w:r>
      <w:r w:rsidRPr="00AE35C2">
        <w:t>Σχέδιο Προληπτικής Δράσης (ΣΠΔ) 2022, ωστόσο το τελικό κόστος των επιμέρους δράσεων προσδιορίζεται κατά την υλοποίησ</w:t>
      </w:r>
      <w:r w:rsidR="00BD4D36">
        <w:t>ή</w:t>
      </w:r>
      <w:r w:rsidRPr="00AE35C2">
        <w:t xml:space="preserve"> τους βάσει των </w:t>
      </w:r>
      <w:proofErr w:type="spellStart"/>
      <w:r w:rsidRPr="00AE35C2">
        <w:t>επικαιροποιημένων</w:t>
      </w:r>
      <w:proofErr w:type="spellEnd"/>
      <w:r w:rsidRPr="00AE35C2">
        <w:t xml:space="preserve"> κατά την ως άνω υλοποίηση σχετικών παραμέτρων κόστους.</w:t>
      </w:r>
    </w:p>
    <w:p w14:paraId="5D10F3CE" w14:textId="54D648B4" w:rsidR="005B6440" w:rsidRPr="00AE35C2" w:rsidRDefault="005B6440" w:rsidP="00570B99">
      <w:pPr>
        <w:pStyle w:val="a7"/>
        <w:numPr>
          <w:ilvl w:val="0"/>
          <w:numId w:val="4"/>
        </w:numPr>
        <w:tabs>
          <w:tab w:val="left" w:pos="426"/>
        </w:tabs>
        <w:spacing w:before="120" w:after="120" w:line="276" w:lineRule="auto"/>
        <w:ind w:left="425" w:hanging="425"/>
        <w:contextualSpacing w:val="0"/>
        <w:jc w:val="both"/>
        <w:rPr>
          <w:b/>
          <w:bCs/>
        </w:rPr>
      </w:pPr>
      <w:r w:rsidRPr="00AE35C2">
        <w:t>Π</w:t>
      </w:r>
      <w:r w:rsidRPr="00AE35C2">
        <w:rPr>
          <w:iCs/>
          <w:spacing w:val="-5"/>
        </w:rPr>
        <w:t xml:space="preserve">ρος ενίσχυση της προστασίας των καταναλωτών σε περίπτωση εμφάνισης σημαντικών διαταραχών στη ζήτηση ή/και την προμήθεια ΦΑ, στο </w:t>
      </w:r>
      <w:proofErr w:type="spellStart"/>
      <w:r w:rsidRPr="00AE35C2">
        <w:rPr>
          <w:iCs/>
          <w:spacing w:val="-5"/>
        </w:rPr>
        <w:t>εγκριθέν</w:t>
      </w:r>
      <w:proofErr w:type="spellEnd"/>
      <w:r w:rsidRPr="00AE35C2">
        <w:rPr>
          <w:iCs/>
          <w:spacing w:val="-5"/>
        </w:rPr>
        <w:t xml:space="preserve"> Σχέδιο Προληπτικής Δράσης 2022 συνοψίστηκαν εν ισχύ μέτρα που έχουν ληφθεί στο πλαίσιο εφαρμογής προηγούμενων εγκεκριμένων ΣΠΔ (υπ’ αριθ. 500/2018 </w:t>
      </w:r>
      <w:r w:rsidR="00BD4D36">
        <w:rPr>
          <w:iCs/>
          <w:spacing w:val="-5"/>
        </w:rPr>
        <w:t xml:space="preserve">και </w:t>
      </w:r>
      <w:r w:rsidRPr="00AE35C2">
        <w:rPr>
          <w:iCs/>
          <w:spacing w:val="-5"/>
        </w:rPr>
        <w:t xml:space="preserve"> 216/2021 Απ</w:t>
      </w:r>
      <w:r w:rsidR="00BD4D36">
        <w:rPr>
          <w:iCs/>
          <w:spacing w:val="-5"/>
        </w:rPr>
        <w:t>οφάσεις</w:t>
      </w:r>
      <w:r w:rsidRPr="00AE35C2">
        <w:rPr>
          <w:iCs/>
          <w:spacing w:val="-5"/>
        </w:rPr>
        <w:t xml:space="preserve"> της ΡΑΕ) και εξακολουθούν να ισχύουν</w:t>
      </w:r>
      <w:r w:rsidR="00BD4D36">
        <w:rPr>
          <w:iCs/>
          <w:spacing w:val="-5"/>
        </w:rPr>
        <w:t>,</w:t>
      </w:r>
      <w:r w:rsidRPr="00AE35C2">
        <w:rPr>
          <w:iCs/>
          <w:spacing w:val="-5"/>
        </w:rPr>
        <w:t xml:space="preserve"> αποσκοπώντας στη διαχείριση </w:t>
      </w:r>
      <w:r w:rsidR="00BD4D36">
        <w:rPr>
          <w:iCs/>
          <w:spacing w:val="-5"/>
        </w:rPr>
        <w:t>του φυσικού αερίου</w:t>
      </w:r>
      <w:r w:rsidRPr="00AE35C2">
        <w:rPr>
          <w:iCs/>
          <w:spacing w:val="-5"/>
        </w:rPr>
        <w:t xml:space="preserve"> σε περιόδους κρίσης, όπως επίσης και υιοθετήθηκαν οι εξής στρατηγικές </w:t>
      </w:r>
      <w:bookmarkStart w:id="0" w:name="_Hlk115366775"/>
      <w:r w:rsidRPr="00AE35C2">
        <w:rPr>
          <w:iCs/>
          <w:spacing w:val="-5"/>
        </w:rPr>
        <w:t>για την εισαγωγή νέων μέτρων για την ενίσχυση της ασφάλειας εφοδιασμού της Χώρας και προς εκπλήρωση των υποχρεώσεων που απορρέουν από την εφαρμογή του Κανονισμού (ΕΕ) 2022/1032</w:t>
      </w:r>
      <w:bookmarkEnd w:id="0"/>
      <w:r w:rsidRPr="00AE35C2">
        <w:rPr>
          <w:iCs/>
          <w:spacing w:val="-5"/>
        </w:rPr>
        <w:t xml:space="preserve">: (1) Μεγιστοποίηση χρησιμοποίησης υφιστάμενων υποδομών ΦΑ, (2) Ενίσχυση διαθεσιμότητας ΦΑ - αποθήκευση αερίου, (3) Ενίσχυση μέτρων για την αποτελεσματικότερη διαχείριση ΦΑ κατά την κρίση, και (4) Βελτιστοποίηση Ρυθμιστικού Πλαισίου. Παρακάτω συνοψίζονται τα μέτρα που περιλαμβάνονται στο ΣΠΔ 2022, τα οποία είναι σχεδιασμένα καταλλήλως και σε πλήρη συμφωνία με το άρθρο 8 του Κανονισμού </w:t>
      </w:r>
      <w:r w:rsidRPr="00AE35C2">
        <w:rPr>
          <w:iCs/>
          <w:spacing w:val="-5"/>
          <w:lang w:eastAsia="en-US"/>
        </w:rPr>
        <w:t xml:space="preserve">(ΕΕ) 2017/1938.  </w:t>
      </w:r>
    </w:p>
    <w:p w14:paraId="6E6612DB" w14:textId="559A8F71" w:rsidR="005B6440" w:rsidRPr="00AE35C2" w:rsidRDefault="00231169" w:rsidP="00570B99">
      <w:pPr>
        <w:tabs>
          <w:tab w:val="left" w:pos="720"/>
        </w:tabs>
        <w:spacing w:before="120" w:after="120" w:line="276" w:lineRule="auto"/>
        <w:jc w:val="both"/>
        <w:rPr>
          <w:iCs/>
          <w:spacing w:val="-5"/>
          <w:u w:val="single"/>
          <w:lang w:eastAsia="en-US"/>
        </w:rPr>
      </w:pPr>
      <w:proofErr w:type="spellStart"/>
      <w:r>
        <w:rPr>
          <w:iCs/>
          <w:spacing w:val="-5"/>
          <w:u w:val="single"/>
          <w:lang w:eastAsia="en-US"/>
        </w:rPr>
        <w:t>Προϋπάρχουσες</w:t>
      </w:r>
      <w:proofErr w:type="spellEnd"/>
      <w:r>
        <w:rPr>
          <w:iCs/>
          <w:spacing w:val="-5"/>
          <w:u w:val="single"/>
          <w:lang w:eastAsia="en-US"/>
        </w:rPr>
        <w:t xml:space="preserve"> δράσεις /</w:t>
      </w:r>
      <w:r w:rsidR="005B6440" w:rsidRPr="00AE35C2">
        <w:rPr>
          <w:iCs/>
          <w:spacing w:val="-5"/>
          <w:u w:val="single"/>
          <w:lang w:eastAsia="en-US"/>
        </w:rPr>
        <w:t xml:space="preserve"> μέτρα διαχείρισης της ζήτησης </w:t>
      </w:r>
    </w:p>
    <w:p w14:paraId="5CEE4069" w14:textId="77777777" w:rsidR="005B6440" w:rsidRPr="00AE35C2" w:rsidRDefault="005B6440" w:rsidP="00570B99">
      <w:pPr>
        <w:numPr>
          <w:ilvl w:val="0"/>
          <w:numId w:val="1"/>
        </w:numPr>
        <w:tabs>
          <w:tab w:val="left" w:pos="720"/>
        </w:tabs>
        <w:suppressAutoHyphens/>
        <w:spacing w:before="120" w:after="120" w:line="276" w:lineRule="auto"/>
        <w:jc w:val="both"/>
        <w:rPr>
          <w:iCs/>
          <w:spacing w:val="-5"/>
          <w:lang w:eastAsia="en-US"/>
        </w:rPr>
      </w:pPr>
      <w:proofErr w:type="spellStart"/>
      <w:r w:rsidRPr="00AE35C2">
        <w:rPr>
          <w:iCs/>
          <w:spacing w:val="-5"/>
          <w:lang w:eastAsia="en-US"/>
        </w:rPr>
        <w:t>Διακόψιμοι</w:t>
      </w:r>
      <w:proofErr w:type="spellEnd"/>
      <w:r w:rsidRPr="00AE35C2">
        <w:rPr>
          <w:iCs/>
          <w:spacing w:val="-5"/>
          <w:lang w:eastAsia="en-US"/>
        </w:rPr>
        <w:t xml:space="preserve"> Καταναλωτές </w:t>
      </w:r>
    </w:p>
    <w:p w14:paraId="3B29E8DE" w14:textId="77777777" w:rsidR="005B6440" w:rsidRPr="00AE35C2" w:rsidRDefault="005B6440" w:rsidP="00570B99">
      <w:pPr>
        <w:numPr>
          <w:ilvl w:val="0"/>
          <w:numId w:val="1"/>
        </w:numPr>
        <w:tabs>
          <w:tab w:val="left" w:pos="720"/>
        </w:tabs>
        <w:suppressAutoHyphens/>
        <w:spacing w:before="120" w:after="120" w:line="276" w:lineRule="auto"/>
        <w:jc w:val="both"/>
        <w:rPr>
          <w:iCs/>
          <w:spacing w:val="-5"/>
          <w:lang w:eastAsia="en-US"/>
        </w:rPr>
      </w:pPr>
      <w:bookmarkStart w:id="1" w:name="_Ref54963059"/>
      <w:r w:rsidRPr="00AE35C2">
        <w:rPr>
          <w:iCs/>
          <w:spacing w:val="-5"/>
          <w:lang w:eastAsia="en-US"/>
        </w:rPr>
        <w:t>Διακοπτόμενοι Καταναλωτές</w:t>
      </w:r>
      <w:bookmarkEnd w:id="1"/>
    </w:p>
    <w:p w14:paraId="51D755A1" w14:textId="77777777" w:rsidR="005B6440" w:rsidRPr="00AE35C2" w:rsidRDefault="005B6440" w:rsidP="00570B99">
      <w:pPr>
        <w:numPr>
          <w:ilvl w:val="0"/>
          <w:numId w:val="1"/>
        </w:numPr>
        <w:tabs>
          <w:tab w:val="left" w:pos="720"/>
        </w:tabs>
        <w:suppressAutoHyphens/>
        <w:spacing w:before="120" w:after="120" w:line="276" w:lineRule="auto"/>
        <w:jc w:val="both"/>
        <w:rPr>
          <w:iCs/>
          <w:spacing w:val="-5"/>
          <w:lang w:eastAsia="en-US"/>
        </w:rPr>
      </w:pPr>
      <w:bookmarkStart w:id="2" w:name="_Ref54963064"/>
      <w:proofErr w:type="spellStart"/>
      <w:r w:rsidRPr="00AE35C2">
        <w:rPr>
          <w:iCs/>
          <w:spacing w:val="-5"/>
          <w:lang w:eastAsia="en-US"/>
        </w:rPr>
        <w:t>Xρήση</w:t>
      </w:r>
      <w:proofErr w:type="spellEnd"/>
      <w:r w:rsidRPr="00AE35C2">
        <w:rPr>
          <w:iCs/>
          <w:spacing w:val="-5"/>
          <w:lang w:eastAsia="en-US"/>
        </w:rPr>
        <w:t xml:space="preserve"> εναλλακτικού καυσίμου από μονάδες ΗΠ με καύσιμο φυσικό αέριο</w:t>
      </w:r>
      <w:bookmarkEnd w:id="2"/>
      <w:r w:rsidRPr="00AE35C2">
        <w:rPr>
          <w:iCs/>
          <w:spacing w:val="-5"/>
          <w:lang w:eastAsia="en-US"/>
        </w:rPr>
        <w:t xml:space="preserve"> </w:t>
      </w:r>
    </w:p>
    <w:p w14:paraId="4CFCD82E" w14:textId="77777777" w:rsidR="005B6440" w:rsidRPr="00AE35C2" w:rsidRDefault="005B6440" w:rsidP="00570B99">
      <w:pPr>
        <w:tabs>
          <w:tab w:val="left" w:pos="720"/>
        </w:tabs>
        <w:spacing w:before="120" w:after="120" w:line="276" w:lineRule="auto"/>
        <w:jc w:val="both"/>
        <w:rPr>
          <w:iCs/>
          <w:spacing w:val="-5"/>
          <w:u w:val="single"/>
          <w:lang w:eastAsia="en-US"/>
        </w:rPr>
      </w:pPr>
      <w:r w:rsidRPr="00AE35C2">
        <w:rPr>
          <w:i/>
          <w:spacing w:val="-5"/>
          <w:u w:val="single"/>
          <w:lang w:eastAsia="en-US"/>
        </w:rPr>
        <w:t>Στρατηγική 1</w:t>
      </w:r>
      <w:r w:rsidRPr="00AE35C2">
        <w:rPr>
          <w:iCs/>
          <w:spacing w:val="-5"/>
          <w:u w:val="single"/>
          <w:lang w:eastAsia="en-US"/>
        </w:rPr>
        <w:t>: Μεγιστοποίηση χρησιμοποίησης υφιστάμενων υποδομών ΦΑ</w:t>
      </w:r>
    </w:p>
    <w:p w14:paraId="1AFE3C9F" w14:textId="77777777" w:rsidR="005B6440" w:rsidRPr="00AE35C2" w:rsidRDefault="005B6440" w:rsidP="00570B99">
      <w:pPr>
        <w:numPr>
          <w:ilvl w:val="0"/>
          <w:numId w:val="3"/>
        </w:numPr>
        <w:tabs>
          <w:tab w:val="left" w:pos="720"/>
        </w:tabs>
        <w:suppressAutoHyphens/>
        <w:spacing w:before="120" w:after="120" w:line="276" w:lineRule="auto"/>
        <w:jc w:val="both"/>
        <w:rPr>
          <w:iCs/>
          <w:spacing w:val="-5"/>
        </w:rPr>
      </w:pPr>
      <w:r w:rsidRPr="00AE35C2">
        <w:rPr>
          <w:b/>
          <w:bCs/>
          <w:iCs/>
          <w:spacing w:val="-5"/>
        </w:rPr>
        <w:t>Δράση Δ1</w:t>
      </w:r>
      <w:r w:rsidRPr="00AE35C2">
        <w:rPr>
          <w:iCs/>
          <w:spacing w:val="-5"/>
        </w:rPr>
        <w:t xml:space="preserve">: Αύξηση δυναμικότητας αεριοποίησης </w:t>
      </w:r>
      <w:proofErr w:type="spellStart"/>
      <w:r w:rsidRPr="00AE35C2">
        <w:rPr>
          <w:iCs/>
          <w:spacing w:val="-5"/>
        </w:rPr>
        <w:t>Ρεβυθούσας</w:t>
      </w:r>
      <w:proofErr w:type="spellEnd"/>
    </w:p>
    <w:p w14:paraId="2668666C" w14:textId="77777777" w:rsidR="005B6440" w:rsidRPr="00AE35C2" w:rsidRDefault="005B6440" w:rsidP="00570B99">
      <w:pPr>
        <w:numPr>
          <w:ilvl w:val="0"/>
          <w:numId w:val="3"/>
        </w:numPr>
        <w:tabs>
          <w:tab w:val="left" w:pos="720"/>
        </w:tabs>
        <w:suppressAutoHyphens/>
        <w:spacing w:before="120" w:after="120" w:line="276" w:lineRule="auto"/>
        <w:jc w:val="both"/>
        <w:rPr>
          <w:iCs/>
          <w:spacing w:val="-5"/>
        </w:rPr>
      </w:pPr>
      <w:r w:rsidRPr="00AE35C2">
        <w:rPr>
          <w:b/>
          <w:bCs/>
          <w:iCs/>
          <w:spacing w:val="-5"/>
        </w:rPr>
        <w:lastRenderedPageBreak/>
        <w:t>Δράση Δ2</w:t>
      </w:r>
      <w:r w:rsidRPr="00AE35C2">
        <w:rPr>
          <w:iCs/>
          <w:spacing w:val="-5"/>
        </w:rPr>
        <w:t xml:space="preserve">: Προσθήκη πλωτής δεξαμενής LNG στον τερματικό σταθμό της </w:t>
      </w:r>
      <w:proofErr w:type="spellStart"/>
      <w:r w:rsidRPr="00AE35C2">
        <w:rPr>
          <w:iCs/>
          <w:spacing w:val="-5"/>
        </w:rPr>
        <w:t>Ρεβυθούσας</w:t>
      </w:r>
      <w:proofErr w:type="spellEnd"/>
    </w:p>
    <w:p w14:paraId="0E2DFBBA" w14:textId="77777777" w:rsidR="005B6440" w:rsidRPr="00AE35C2" w:rsidRDefault="005B6440" w:rsidP="00570B99">
      <w:pPr>
        <w:tabs>
          <w:tab w:val="left" w:pos="720"/>
        </w:tabs>
        <w:spacing w:before="120" w:after="120" w:line="276" w:lineRule="auto"/>
        <w:jc w:val="both"/>
        <w:rPr>
          <w:iCs/>
          <w:spacing w:val="-5"/>
          <w:u w:val="single"/>
        </w:rPr>
      </w:pPr>
      <w:r w:rsidRPr="00AE35C2">
        <w:rPr>
          <w:i/>
          <w:spacing w:val="-5"/>
          <w:u w:val="single"/>
        </w:rPr>
        <w:t>Στρατηγική 2</w:t>
      </w:r>
      <w:r w:rsidRPr="00AE35C2">
        <w:rPr>
          <w:iCs/>
          <w:spacing w:val="-5"/>
          <w:u w:val="single"/>
        </w:rPr>
        <w:t>: Ενίσχυση διαθεσιμότητας φυσικού αερίου - αποθήκευση αερίου</w:t>
      </w:r>
    </w:p>
    <w:p w14:paraId="151ED4C8"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Δ3</w:t>
      </w:r>
      <w:r w:rsidRPr="00AE35C2">
        <w:rPr>
          <w:iCs/>
          <w:spacing w:val="-5"/>
        </w:rPr>
        <w:t>: Θέσπιση υποχρέωσης διατήρησης αποθέματος φυσικού αερίου σε υπόγεια υποδομή αποθήκευσης άλλου Κράτους-Μέλους σε κατόχους άδειας προμήθειας σε τελικούς πελάτες, οι οποίοι εισήγαγαν φυσικό αέριο στο ΕΣΦΑ τα πέντε προηγούμενα έτη και είναι Χρήστες του ΕΣΦΑ (εμπορική αποθήκευση)</w:t>
      </w:r>
    </w:p>
    <w:p w14:paraId="5AD5B7B3"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Δ4</w:t>
      </w:r>
      <w:r w:rsidRPr="00AE35C2">
        <w:rPr>
          <w:iCs/>
          <w:spacing w:val="-5"/>
        </w:rPr>
        <w:t xml:space="preserve">: Διατήρηση αποθέματος ασφαλείας φυσικού αερίου στη </w:t>
      </w:r>
      <w:proofErr w:type="spellStart"/>
      <w:r w:rsidRPr="00AE35C2">
        <w:rPr>
          <w:iCs/>
          <w:spacing w:val="-5"/>
        </w:rPr>
        <w:t>Ρεβυθούσα</w:t>
      </w:r>
      <w:proofErr w:type="spellEnd"/>
      <w:r w:rsidRPr="00AE35C2">
        <w:rPr>
          <w:iCs/>
          <w:spacing w:val="-5"/>
        </w:rPr>
        <w:t xml:space="preserve"> από μονάδες ΗΠ με καύσιμο ΦΑ χωρίς τη δυνατότητα εναλλαγής καυσίμου</w:t>
      </w:r>
    </w:p>
    <w:p w14:paraId="53F52CF6" w14:textId="77777777" w:rsidR="005B6440" w:rsidRPr="00AE35C2" w:rsidRDefault="005B6440" w:rsidP="00570B99">
      <w:pPr>
        <w:tabs>
          <w:tab w:val="left" w:pos="720"/>
        </w:tabs>
        <w:spacing w:before="120" w:after="120" w:line="276" w:lineRule="auto"/>
        <w:jc w:val="both"/>
        <w:rPr>
          <w:iCs/>
          <w:spacing w:val="-5"/>
          <w:u w:val="single"/>
        </w:rPr>
      </w:pPr>
      <w:r w:rsidRPr="00AE35C2">
        <w:rPr>
          <w:i/>
          <w:spacing w:val="-5"/>
          <w:u w:val="single"/>
        </w:rPr>
        <w:t>Στρατηγική 3</w:t>
      </w:r>
      <w:r w:rsidRPr="00AE35C2">
        <w:rPr>
          <w:iCs/>
          <w:spacing w:val="-5"/>
          <w:u w:val="single"/>
        </w:rPr>
        <w:t>: Ενίσχυση μέτρων για την αποτελεσματικότερη διαχείριση ΦΑ κατά την κρίση</w:t>
      </w:r>
    </w:p>
    <w:p w14:paraId="7FCAB886"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Δ5</w:t>
      </w:r>
      <w:r w:rsidRPr="00AE35C2">
        <w:rPr>
          <w:iCs/>
          <w:spacing w:val="-5"/>
        </w:rPr>
        <w:t>: Αύξηση αποθεμάτων εναλλακτικού καυσίμου (</w:t>
      </w:r>
      <w:proofErr w:type="spellStart"/>
      <w:r w:rsidRPr="00AE35C2">
        <w:rPr>
          <w:iCs/>
          <w:spacing w:val="-5"/>
        </w:rPr>
        <w:t>diesel</w:t>
      </w:r>
      <w:proofErr w:type="spellEnd"/>
      <w:r w:rsidRPr="00AE35C2">
        <w:rPr>
          <w:iCs/>
          <w:spacing w:val="-5"/>
        </w:rPr>
        <w:t>) σε μονάδες ΗΠ με καύσιμο ΦΑ και δυνατότητα εναλλαγής καυσίμου</w:t>
      </w:r>
    </w:p>
    <w:p w14:paraId="1F15E0BF"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Δ6</w:t>
      </w:r>
      <w:r w:rsidRPr="00AE35C2">
        <w:rPr>
          <w:iCs/>
          <w:spacing w:val="-5"/>
        </w:rPr>
        <w:t>: Μηχανισμός για την κατά προτεραιότητα λειτουργία των μονάδων με εναλλακτικό καύσιμο στην αγορά του ηλεκτρισμού σε περίπτωση κρίσης φυσικού αερίου Επιπέδου 3 Έκτακτης Ανάγκης και κατόπιν απόφασης ΟΔΚ για την ενεργοποίησή του</w:t>
      </w:r>
    </w:p>
    <w:p w14:paraId="255BC0CD"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Δ7</w:t>
      </w:r>
      <w:r w:rsidRPr="00AE35C2">
        <w:rPr>
          <w:iCs/>
          <w:spacing w:val="-5"/>
        </w:rPr>
        <w:t>: Εισαγωγή διατάξεων για την συνετή χρήση και περιορισμό της άσκοπης κατανάλωσης ΦΑ κατά τη διάρκεια κρίσης ΦΑ</w:t>
      </w:r>
    </w:p>
    <w:p w14:paraId="4C0041E7"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Δ8</w:t>
      </w:r>
      <w:r w:rsidRPr="00AE35C2">
        <w:rPr>
          <w:iCs/>
          <w:spacing w:val="-5"/>
        </w:rPr>
        <w:t>: Κατά προτεραιότητα παροχή φυσικού αερίου σε ορισμένες «Σημαντικές» Βιομηχανίες.</w:t>
      </w:r>
    </w:p>
    <w:p w14:paraId="40ED150F"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Δ9</w:t>
      </w:r>
      <w:r w:rsidRPr="00AE35C2">
        <w:rPr>
          <w:iCs/>
          <w:spacing w:val="-5"/>
        </w:rPr>
        <w:t xml:space="preserve">: Ανάπτυξη εξειδικευμένου προϊόντος της αγοράς εξισορρόπησης για την εθελοντική μείωση της κατανάλωσης ενέργειας </w:t>
      </w:r>
    </w:p>
    <w:p w14:paraId="624DA7A1" w14:textId="77777777" w:rsidR="005B6440" w:rsidRPr="00AE35C2" w:rsidRDefault="005B6440" w:rsidP="00570B99">
      <w:pPr>
        <w:tabs>
          <w:tab w:val="left" w:pos="720"/>
        </w:tabs>
        <w:spacing w:before="120" w:after="120" w:line="276" w:lineRule="auto"/>
        <w:jc w:val="both"/>
        <w:rPr>
          <w:iCs/>
          <w:spacing w:val="-5"/>
          <w:u w:val="single"/>
        </w:rPr>
      </w:pPr>
      <w:r w:rsidRPr="00AE35C2">
        <w:rPr>
          <w:i/>
          <w:spacing w:val="-5"/>
          <w:u w:val="single"/>
        </w:rPr>
        <w:t>Στρατηγική 4</w:t>
      </w:r>
      <w:r w:rsidRPr="00AE35C2">
        <w:rPr>
          <w:iCs/>
          <w:spacing w:val="-5"/>
          <w:u w:val="single"/>
        </w:rPr>
        <w:t>: Βελτιστοποίηση Ρυθμιστικού Πλαισίου</w:t>
      </w:r>
    </w:p>
    <w:p w14:paraId="5824BAC1"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Δ10</w:t>
      </w:r>
      <w:r w:rsidRPr="00AE35C2">
        <w:rPr>
          <w:iCs/>
          <w:spacing w:val="-5"/>
        </w:rPr>
        <w:t>: Αναπροσαρμογή του τέλους ασφάλειας εφοδιασμού (ΤΑΕ)</w:t>
      </w:r>
    </w:p>
    <w:p w14:paraId="141D7434" w14:textId="77777777" w:rsidR="005B6440" w:rsidRPr="00AE35C2" w:rsidRDefault="005B6440" w:rsidP="00570B99">
      <w:pPr>
        <w:numPr>
          <w:ilvl w:val="0"/>
          <w:numId w:val="2"/>
        </w:numPr>
        <w:tabs>
          <w:tab w:val="left" w:pos="720"/>
        </w:tabs>
        <w:suppressAutoHyphens/>
        <w:spacing w:before="120" w:after="120" w:line="276" w:lineRule="auto"/>
        <w:jc w:val="both"/>
        <w:rPr>
          <w:iCs/>
          <w:spacing w:val="-5"/>
        </w:rPr>
      </w:pPr>
      <w:r w:rsidRPr="00AE35C2">
        <w:rPr>
          <w:b/>
          <w:bCs/>
          <w:iCs/>
          <w:spacing w:val="-5"/>
        </w:rPr>
        <w:t>Δράση Δ11</w:t>
      </w:r>
      <w:r w:rsidRPr="00AE35C2">
        <w:rPr>
          <w:iCs/>
          <w:spacing w:val="-5"/>
        </w:rPr>
        <w:t>: Ρύθμιση για την έκτακτη τροποποίηση του Προγραμματισμού Εκφορτώσεων ΥΦΑ</w:t>
      </w:r>
    </w:p>
    <w:p w14:paraId="5670396A" w14:textId="193367AB" w:rsidR="00570B99" w:rsidRPr="00AE35C2" w:rsidRDefault="00853C38" w:rsidP="00570B99">
      <w:pPr>
        <w:pStyle w:val="a7"/>
        <w:numPr>
          <w:ilvl w:val="0"/>
          <w:numId w:val="4"/>
        </w:numPr>
        <w:tabs>
          <w:tab w:val="left" w:pos="426"/>
        </w:tabs>
        <w:suppressAutoHyphens/>
        <w:spacing w:before="120" w:after="120" w:line="276" w:lineRule="auto"/>
        <w:ind w:left="426" w:hanging="426"/>
        <w:contextualSpacing w:val="0"/>
        <w:jc w:val="both"/>
        <w:rPr>
          <w:color w:val="FF0000"/>
          <w:spacing w:val="-5"/>
          <w:lang w:eastAsia="ar-SA"/>
        </w:rPr>
      </w:pPr>
      <w:r w:rsidRPr="00AE35C2">
        <w:rPr>
          <w:spacing w:val="-5"/>
          <w:lang w:eastAsia="ar-SA"/>
        </w:rPr>
        <w:t xml:space="preserve">Η Αρχή, στο πλαίσιο των αρμοδιοτήτων της για την εποπτεία της αγοράς φυσικού αερίου, έχει στη διάθεσή της στοιχεία που είναι κρίσιμα για τον προϋπολογισμό αφενός του κόστους </w:t>
      </w:r>
      <w:r w:rsidRPr="00AE35C2">
        <w:rPr>
          <w:b/>
          <w:bCs/>
          <w:spacing w:val="-5"/>
          <w:lang w:eastAsia="ar-SA"/>
        </w:rPr>
        <w:t>(α)</w:t>
      </w:r>
      <w:r w:rsidRPr="00AE35C2">
        <w:rPr>
          <w:spacing w:val="-5"/>
          <w:lang w:eastAsia="ar-SA"/>
        </w:rPr>
        <w:t xml:space="preserve"> των συμβάσεων που συνάπτονται σύμφωνα με την παράγραφο 4 του άρθρου 73 του ν. 4001/2011 (</w:t>
      </w:r>
      <w:r w:rsidRPr="00AE35C2">
        <w:rPr>
          <w:i/>
          <w:iCs/>
          <w:spacing w:val="-5"/>
          <w:lang w:eastAsia="ar-SA"/>
        </w:rPr>
        <w:t>υφιστάμενο μέτρο: Χρήση εναλλακτικού καυσίμου από μονάδες ΗΠ με καύσιμο ΦΑ</w:t>
      </w:r>
      <w:r w:rsidRPr="00AE35C2">
        <w:rPr>
          <w:spacing w:val="-5"/>
          <w:lang w:eastAsia="ar-SA"/>
        </w:rPr>
        <w:t>),</w:t>
      </w:r>
      <w:r w:rsidRPr="00AE35C2">
        <w:rPr>
          <w:color w:val="FF0000"/>
          <w:spacing w:val="-5"/>
          <w:lang w:eastAsia="ar-SA"/>
        </w:rPr>
        <w:t xml:space="preserve"> </w:t>
      </w:r>
      <w:r w:rsidRPr="00AE35C2">
        <w:rPr>
          <w:b/>
          <w:bCs/>
          <w:spacing w:val="-5"/>
          <w:lang w:eastAsia="ar-SA"/>
        </w:rPr>
        <w:t>(β)</w:t>
      </w:r>
      <w:r w:rsidRPr="00AE35C2">
        <w:rPr>
          <w:spacing w:val="-5"/>
          <w:lang w:eastAsia="ar-SA"/>
        </w:rPr>
        <w:t xml:space="preserve"> των συμβάσεων που συνάπτονται σύμφωνα με την παράγραφο 5 του άρθρου 73 του ν. 4001/2011 (</w:t>
      </w:r>
      <w:r w:rsidRPr="00AE35C2">
        <w:rPr>
          <w:i/>
          <w:iCs/>
          <w:spacing w:val="-5"/>
          <w:lang w:eastAsia="ar-SA"/>
        </w:rPr>
        <w:t>υφιστάμενο μέτρο: Διακοπτόμενοι καταναλωτές</w:t>
      </w:r>
      <w:r w:rsidRPr="00AE35C2">
        <w:rPr>
          <w:spacing w:val="-5"/>
          <w:lang w:eastAsia="ar-SA"/>
        </w:rPr>
        <w:t>),</w:t>
      </w:r>
      <w:r w:rsidRPr="00AE35C2">
        <w:rPr>
          <w:color w:val="FF0000"/>
          <w:spacing w:val="-5"/>
          <w:lang w:eastAsia="ar-SA"/>
        </w:rPr>
        <w:t xml:space="preserve"> </w:t>
      </w:r>
      <w:r w:rsidRPr="00AE35C2">
        <w:rPr>
          <w:b/>
          <w:bCs/>
          <w:spacing w:val="-5"/>
          <w:lang w:eastAsia="ar-SA"/>
        </w:rPr>
        <w:t>(γ)</w:t>
      </w:r>
      <w:r w:rsidRPr="00AE35C2">
        <w:rPr>
          <w:spacing w:val="-5"/>
          <w:lang w:eastAsia="ar-SA"/>
        </w:rPr>
        <w:t xml:space="preserve"> της μίσθωσης της πλωτής δεξαμενής ΥΦΑ (</w:t>
      </w:r>
      <w:r w:rsidRPr="00AE35C2">
        <w:rPr>
          <w:i/>
          <w:iCs/>
          <w:spacing w:val="-5"/>
          <w:lang w:eastAsia="ar-SA"/>
        </w:rPr>
        <w:t>Δράση Δ2</w:t>
      </w:r>
      <w:r w:rsidRPr="00AE35C2">
        <w:rPr>
          <w:spacing w:val="-5"/>
          <w:lang w:eastAsia="ar-SA"/>
        </w:rPr>
        <w:t>) κατά τα οριζόμενα στο άρθρο 116 του ν. 4951/2022,</w:t>
      </w:r>
      <w:r w:rsidRPr="00AE35C2">
        <w:rPr>
          <w:color w:val="FF0000"/>
          <w:spacing w:val="-5"/>
          <w:lang w:eastAsia="ar-SA"/>
        </w:rPr>
        <w:t xml:space="preserve"> </w:t>
      </w:r>
      <w:r w:rsidRPr="00AE35C2">
        <w:rPr>
          <w:b/>
          <w:bCs/>
          <w:spacing w:val="-5"/>
          <w:lang w:eastAsia="ar-SA"/>
        </w:rPr>
        <w:t>(δ)</w:t>
      </w:r>
      <w:r w:rsidRPr="00AE35C2">
        <w:rPr>
          <w:spacing w:val="-5"/>
          <w:lang w:eastAsia="ar-SA"/>
        </w:rPr>
        <w:t xml:space="preserve"> της διατήρησης αποθέματος ΦΑ σε υπόγεια υποδομή αποθήκευσης άλλου Κράτους – Μέλους (</w:t>
      </w:r>
      <w:r w:rsidRPr="00AE35C2">
        <w:rPr>
          <w:i/>
          <w:iCs/>
          <w:spacing w:val="-5"/>
          <w:lang w:eastAsia="ar-SA"/>
        </w:rPr>
        <w:t>Δράση Δ3</w:t>
      </w:r>
      <w:r w:rsidRPr="00AE35C2">
        <w:rPr>
          <w:spacing w:val="-5"/>
          <w:lang w:eastAsia="ar-SA"/>
        </w:rPr>
        <w:t xml:space="preserve">), </w:t>
      </w:r>
      <w:r w:rsidRPr="00AE35C2">
        <w:rPr>
          <w:b/>
          <w:bCs/>
          <w:spacing w:val="-5"/>
          <w:lang w:eastAsia="ar-SA"/>
        </w:rPr>
        <w:t xml:space="preserve">(ε) </w:t>
      </w:r>
      <w:r w:rsidRPr="00AE35C2">
        <w:rPr>
          <w:spacing w:val="-5"/>
          <w:lang w:eastAsia="ar-SA"/>
        </w:rPr>
        <w:t xml:space="preserve">της διατήρησης αποθέματος ασφαλείας ΦΑ στη </w:t>
      </w:r>
      <w:proofErr w:type="spellStart"/>
      <w:r w:rsidRPr="00AE35C2">
        <w:rPr>
          <w:spacing w:val="-5"/>
          <w:lang w:eastAsia="ar-SA"/>
        </w:rPr>
        <w:t>Ρεβυθούσα</w:t>
      </w:r>
      <w:proofErr w:type="spellEnd"/>
      <w:r w:rsidRPr="00AE35C2">
        <w:rPr>
          <w:spacing w:val="-5"/>
          <w:lang w:eastAsia="ar-SA"/>
        </w:rPr>
        <w:t xml:space="preserve"> από μονάδες ΗΠ με καύσιμο ΦΑ χωρίς τη δυνατότητα εναλλαγής καυσίμου (</w:t>
      </w:r>
      <w:r w:rsidRPr="00AE35C2">
        <w:rPr>
          <w:i/>
          <w:iCs/>
          <w:spacing w:val="-5"/>
          <w:lang w:eastAsia="ar-SA"/>
        </w:rPr>
        <w:t>Δράση Δ4</w:t>
      </w:r>
      <w:r w:rsidRPr="00AE35C2">
        <w:rPr>
          <w:spacing w:val="-5"/>
          <w:lang w:eastAsia="ar-SA"/>
        </w:rPr>
        <w:t xml:space="preserve">) και </w:t>
      </w:r>
      <w:r w:rsidRPr="00AE35C2">
        <w:rPr>
          <w:b/>
          <w:bCs/>
          <w:spacing w:val="-5"/>
          <w:lang w:eastAsia="ar-SA"/>
        </w:rPr>
        <w:t>(</w:t>
      </w:r>
      <w:proofErr w:type="spellStart"/>
      <w:r w:rsidRPr="00AE35C2">
        <w:rPr>
          <w:b/>
          <w:bCs/>
          <w:spacing w:val="-5"/>
          <w:lang w:eastAsia="ar-SA"/>
        </w:rPr>
        <w:t>στ</w:t>
      </w:r>
      <w:proofErr w:type="spellEnd"/>
      <w:r w:rsidRPr="00AE35C2">
        <w:rPr>
          <w:b/>
          <w:bCs/>
          <w:spacing w:val="-5"/>
          <w:lang w:eastAsia="ar-SA"/>
        </w:rPr>
        <w:t>)</w:t>
      </w:r>
      <w:r w:rsidRPr="00AE35C2">
        <w:rPr>
          <w:b/>
          <w:bCs/>
          <w:color w:val="FF0000"/>
          <w:spacing w:val="-5"/>
          <w:lang w:eastAsia="ar-SA"/>
        </w:rPr>
        <w:t xml:space="preserve"> </w:t>
      </w:r>
      <w:r w:rsidRPr="00AE35C2">
        <w:rPr>
          <w:spacing w:val="-5"/>
          <w:lang w:eastAsia="ar-SA"/>
        </w:rPr>
        <w:t>της αύξησης αποθεμάτων εναλλακτικού καυσίμου (</w:t>
      </w:r>
      <w:r w:rsidRPr="00AE35C2">
        <w:rPr>
          <w:spacing w:val="-5"/>
          <w:lang w:val="en-US" w:eastAsia="ar-SA"/>
        </w:rPr>
        <w:t>diesel</w:t>
      </w:r>
      <w:r w:rsidRPr="00AE35C2">
        <w:rPr>
          <w:spacing w:val="-5"/>
          <w:lang w:eastAsia="ar-SA"/>
        </w:rPr>
        <w:t xml:space="preserve">) σε  μονάδες ΗΠ με καύσιμο ΦΑ και </w:t>
      </w:r>
      <w:r w:rsidRPr="00AE35C2">
        <w:rPr>
          <w:spacing w:val="-5"/>
          <w:lang w:eastAsia="ar-SA"/>
        </w:rPr>
        <w:lastRenderedPageBreak/>
        <w:t>δυνατότητα εναλλαγής καυσίμου</w:t>
      </w:r>
      <w:r w:rsidRPr="00AE35C2">
        <w:rPr>
          <w:b/>
          <w:bCs/>
          <w:color w:val="FF0000"/>
          <w:spacing w:val="-5"/>
          <w:lang w:eastAsia="ar-SA"/>
        </w:rPr>
        <w:t xml:space="preserve"> </w:t>
      </w:r>
      <w:r w:rsidRPr="00AE35C2">
        <w:rPr>
          <w:spacing w:val="-5"/>
          <w:lang w:eastAsia="ar-SA"/>
        </w:rPr>
        <w:t>(</w:t>
      </w:r>
      <w:r w:rsidRPr="00AE35C2">
        <w:rPr>
          <w:i/>
          <w:iCs/>
          <w:spacing w:val="-5"/>
          <w:lang w:eastAsia="ar-SA"/>
        </w:rPr>
        <w:t>Δράση Δ5</w:t>
      </w:r>
      <w:r w:rsidRPr="00AE35C2">
        <w:rPr>
          <w:spacing w:val="-5"/>
          <w:lang w:eastAsia="ar-SA"/>
        </w:rPr>
        <w:t>). Το κόστος της δράσης Δ1 έχει περιληφθεί στη Ρυθμιζόμενη Περιουσιακή Βάση του ΕΣΦΑ και ανακτάται από τα τιμολόγιά του, ενώ το κόστος των λοιπών δράσεων του εγκεκριμένου ΣΠΔ είναι μηδενικό.</w:t>
      </w:r>
    </w:p>
    <w:p w14:paraId="70F4AFCE" w14:textId="57AB7ED5" w:rsidR="00780A96" w:rsidRPr="00AE35C2" w:rsidRDefault="006B260F" w:rsidP="00570B99">
      <w:pPr>
        <w:spacing w:line="276" w:lineRule="auto"/>
        <w:jc w:val="both"/>
        <w:rPr>
          <w:rFonts w:ascii="Calibri" w:hAnsi="Calibri" w:cs="Calibri"/>
          <w:b/>
          <w:bCs/>
          <w:color w:val="808080"/>
          <w:spacing w:val="-5"/>
          <w:kern w:val="28"/>
          <w:sz w:val="28"/>
          <w:szCs w:val="28"/>
          <w:lang w:eastAsia="en-US"/>
        </w:rPr>
      </w:pPr>
      <w:r w:rsidRPr="00AE35C2">
        <w:rPr>
          <w:rFonts w:ascii="Calibri" w:hAnsi="Calibri" w:cs="Calibri"/>
          <w:b/>
          <w:bCs/>
          <w:color w:val="808080"/>
          <w:spacing w:val="-5"/>
          <w:kern w:val="28"/>
          <w:sz w:val="28"/>
          <w:szCs w:val="28"/>
          <w:lang w:eastAsia="en-US"/>
        </w:rPr>
        <w:t xml:space="preserve">Α. </w:t>
      </w:r>
      <w:r w:rsidR="00433FED" w:rsidRPr="00AE35C2">
        <w:rPr>
          <w:rFonts w:ascii="Calibri" w:hAnsi="Calibri" w:cs="Calibri"/>
          <w:b/>
          <w:bCs/>
          <w:color w:val="808080"/>
          <w:spacing w:val="-5"/>
          <w:kern w:val="28"/>
          <w:sz w:val="28"/>
          <w:szCs w:val="28"/>
          <w:lang w:eastAsia="en-US"/>
        </w:rPr>
        <w:t>Ως προς την εκτίμηση του επί μέρους κόστους των συμβάσεων που συνάπτονται σύμφωνα με την παράγραφο 4 του άρθρου 73 του ν. 4001/2011 (υφιστάμενο μέτρο: Χρήση εναλλακτικού καυσίμου από μονάδες ΗΠ με καύσιμο ΦΑ)</w:t>
      </w:r>
    </w:p>
    <w:p w14:paraId="638E199F" w14:textId="77777777" w:rsidR="00433FED" w:rsidRPr="00AE35C2" w:rsidRDefault="00433FED" w:rsidP="00570B99">
      <w:pPr>
        <w:pStyle w:val="a7"/>
        <w:numPr>
          <w:ilvl w:val="0"/>
          <w:numId w:val="4"/>
        </w:numPr>
        <w:tabs>
          <w:tab w:val="left" w:pos="426"/>
        </w:tabs>
        <w:suppressAutoHyphens/>
        <w:spacing w:before="120" w:after="120" w:line="276" w:lineRule="auto"/>
        <w:ind w:left="426" w:hanging="426"/>
        <w:contextualSpacing w:val="0"/>
        <w:jc w:val="both"/>
        <w:rPr>
          <w:color w:val="FF0000"/>
          <w:spacing w:val="-5"/>
          <w:lang w:eastAsia="ar-SA"/>
        </w:rPr>
      </w:pPr>
      <w:r w:rsidRPr="00AE35C2">
        <w:rPr>
          <w:b/>
          <w:bCs/>
          <w:spacing w:val="-5"/>
          <w:lang w:eastAsia="ar-SA"/>
        </w:rPr>
        <w:t>Σ</w:t>
      </w:r>
      <w:r w:rsidRPr="00AE35C2">
        <w:rPr>
          <w:spacing w:val="-5"/>
          <w:lang w:eastAsia="ar-SA"/>
        </w:rPr>
        <w:t>ύμφωνα με τα οριζόμενα στην παράγραφο 4 του άρθρου 73 του ν. 4001/2011 όπως ισχύει, το ύψος του ανταλλάγματος που καταβάλει ο Διαχειριστής του ΕΣΦΑ στις υφιστάμενες μονάδες παραγωγής ηλεκτρικής ενέργειας, με καύσιμο ΦΑ, οι οποίες έχουν την υποχρέωση τήρησης εναλλακτικού καυσίμου βάσει των όρων της αδείας τους, απαρτίζεται από τα ακόλουθα τρία στοιχεία κόστους: α) το κεφαλαιουχικό κόστος των εγκαταστάσεων εναλλακτικού καυσίμου πρότυπης μονάδας παραγωγής ηλεκτρικής ενέργειας, β) το κεφαλαιουχικό κόστος διατήρησης αποθεμάτων πετρελαίου και γ) τη διαφορά κόστους πετρελαίου και φυσικού αερίου για τη διενέργεια δοκιμών που εκτελούνται για την πιστοποίηση της δυνατότητας λειτουργίας της μονάδας με εναλλακτικό καύσιμο είτε πριν τη σύναψη της σύμβασης της παράγραφο 4 του άρθρου 73 του ν. 4001/2011 όπως ισχύει, υπό την προϋπόθεση ότι η διαδικασία των δοκιμών καταλήγει στην υπογραφή της σύμβασης, είτε μετά τη σύναψη της σύμβασης, καθώς και τακτικών δοκιμών στις εγκαταστάσεις των κατόχων άδειας παραγωγής ηλεκτρικής ενέργειας, οι οποίοι συνάπτουν την ως άνω Σύμβαση με τον Διαχειριστή του ΕΣΦΑ.</w:t>
      </w:r>
      <w:r w:rsidRPr="00AE35C2">
        <w:rPr>
          <w:color w:val="FF0000"/>
          <w:spacing w:val="-5"/>
          <w:lang w:eastAsia="ar-SA"/>
        </w:rPr>
        <w:t xml:space="preserve"> </w:t>
      </w:r>
    </w:p>
    <w:p w14:paraId="5D79D961" w14:textId="77777777" w:rsidR="00433FED" w:rsidRPr="00AE35C2" w:rsidRDefault="00433FED" w:rsidP="00570B99">
      <w:pPr>
        <w:pStyle w:val="a7"/>
        <w:numPr>
          <w:ilvl w:val="0"/>
          <w:numId w:val="4"/>
        </w:numPr>
        <w:tabs>
          <w:tab w:val="left" w:pos="426"/>
        </w:tabs>
        <w:suppressAutoHyphens/>
        <w:spacing w:before="120" w:after="120" w:line="276" w:lineRule="auto"/>
        <w:ind w:left="426" w:hanging="426"/>
        <w:contextualSpacing w:val="0"/>
        <w:jc w:val="both"/>
        <w:rPr>
          <w:color w:val="FF0000"/>
          <w:spacing w:val="-5"/>
          <w:lang w:eastAsia="ar-SA"/>
        </w:rPr>
      </w:pPr>
      <w:r w:rsidRPr="00AE35C2">
        <w:rPr>
          <w:spacing w:val="-5"/>
          <w:lang w:eastAsia="ar-SA"/>
        </w:rPr>
        <w:t xml:space="preserve">Ως πρότυπη μονάδα παραγωγής ηλεκτρικής ενέργειας ορίζεται μονάδα συνδυασμένου κύκλου, ισχύος 400 </w:t>
      </w:r>
      <w:r w:rsidRPr="00AE35C2">
        <w:rPr>
          <w:spacing w:val="-5"/>
          <w:lang w:val="en-US" w:eastAsia="ar-SA"/>
        </w:rPr>
        <w:t>MW</w:t>
      </w:r>
      <w:r w:rsidRPr="00AE35C2">
        <w:rPr>
          <w:spacing w:val="-5"/>
          <w:lang w:eastAsia="ar-SA"/>
        </w:rPr>
        <w:t>, που βασίζεται σε αεριοστρόβιλο τεχνολογικής κλάσης F. Η επιλογή της ως άνω πρότυπης εγκατάστασης για την εκτίμηση του κόστους των παγίων γίνεται με σκοπό την απλούστευση των παραδοχών και τη διασφάλιση της ίσης μεταχείρισης των μονάδων παραγωγής ηλεκτρικής ενέργειας που έχουν τη δυνατότητα και την υποχρέωση τήρησης και χρήσης αποθέματος εναλλακτικού καυσίμου.</w:t>
      </w:r>
      <w:r w:rsidRPr="00AE35C2">
        <w:rPr>
          <w:color w:val="FF0000"/>
          <w:spacing w:val="-5"/>
          <w:lang w:eastAsia="ar-SA"/>
        </w:rPr>
        <w:t xml:space="preserve"> </w:t>
      </w:r>
    </w:p>
    <w:p w14:paraId="2695384E" w14:textId="77777777" w:rsidR="00433FED" w:rsidRPr="00AE35C2" w:rsidRDefault="00433FED" w:rsidP="00570B99">
      <w:pPr>
        <w:pStyle w:val="a7"/>
        <w:numPr>
          <w:ilvl w:val="0"/>
          <w:numId w:val="4"/>
        </w:numPr>
        <w:tabs>
          <w:tab w:val="left" w:pos="426"/>
        </w:tabs>
        <w:suppressAutoHyphens/>
        <w:spacing w:before="120" w:after="120" w:line="276" w:lineRule="auto"/>
        <w:ind w:left="426" w:hanging="426"/>
        <w:contextualSpacing w:val="0"/>
        <w:jc w:val="both"/>
        <w:rPr>
          <w:color w:val="FF0000"/>
          <w:spacing w:val="-5"/>
          <w:lang w:eastAsia="ar-SA"/>
        </w:rPr>
      </w:pPr>
      <w:r w:rsidRPr="00AE35C2">
        <w:rPr>
          <w:spacing w:val="-5"/>
          <w:lang w:eastAsia="ar-SA"/>
        </w:rPr>
        <w:t xml:space="preserve">Σε ό,τι αφορά </w:t>
      </w:r>
      <w:r w:rsidRPr="00AE35C2">
        <w:rPr>
          <w:b/>
          <w:spacing w:val="-5"/>
          <w:lang w:eastAsia="ar-SA"/>
        </w:rPr>
        <w:t>τον υπολογισμό του κεφαλαιουχικού κόστους των εγκαταστάσεων διατήρησης εναλλακτικού καυσίμου πρότυπης μονάδας παραγωγής ηλεκτρικής ενέργειας</w:t>
      </w:r>
      <w:r w:rsidRPr="00AE35C2">
        <w:rPr>
          <w:spacing w:val="-5"/>
          <w:lang w:eastAsia="ar-SA"/>
        </w:rPr>
        <w:t xml:space="preserve"> εκτιμώνται τα ακόλουθα: α) Το αρχικώς </w:t>
      </w:r>
      <w:proofErr w:type="spellStart"/>
      <w:r w:rsidRPr="00AE35C2">
        <w:rPr>
          <w:spacing w:val="-5"/>
          <w:lang w:eastAsia="ar-SA"/>
        </w:rPr>
        <w:t>επενδεδυμένο</w:t>
      </w:r>
      <w:proofErr w:type="spellEnd"/>
      <w:r w:rsidRPr="00AE35C2">
        <w:rPr>
          <w:spacing w:val="-5"/>
          <w:lang w:eastAsia="ar-SA"/>
        </w:rPr>
        <w:t xml:space="preserve"> κεφάλαιο των εγκαταστάσεων εναλλακτικού καυσίμου της πρότυπης μονάδας εκτιμάται σε πέντε (5) εκ. € (με βάση δεδομένα κόστους του 2006) και σε 5,8 εκ. € (με βάση δεδομένα κόστους της περιόδου 2008-2010). β) Για εσωτερικό βαθμό απόδοσης προ φόρων, τόκων και αποσβέσεων ίσο με </w:t>
      </w:r>
      <w:proofErr w:type="spellStart"/>
      <w:r w:rsidRPr="00AE35C2">
        <w:rPr>
          <w:spacing w:val="-5"/>
          <w:lang w:eastAsia="ar-SA"/>
        </w:rPr>
        <w:t>οκτώμιση</w:t>
      </w:r>
      <w:proofErr w:type="spellEnd"/>
      <w:r w:rsidRPr="00AE35C2">
        <w:rPr>
          <w:spacing w:val="-5"/>
          <w:lang w:eastAsia="ar-SA"/>
        </w:rPr>
        <w:t xml:space="preserve"> τοις εκατό (8,5%)</w:t>
      </w:r>
      <w:r w:rsidRPr="00AE35C2">
        <w:rPr>
          <w:color w:val="FF0000"/>
          <w:spacing w:val="-5"/>
          <w:lang w:eastAsia="ar-SA"/>
        </w:rPr>
        <w:t xml:space="preserve"> </w:t>
      </w:r>
      <w:r w:rsidRPr="00AE35C2">
        <w:rPr>
          <w:spacing w:val="-5"/>
          <w:lang w:eastAsia="ar-SA"/>
        </w:rPr>
        <w:t xml:space="preserve">για χρονικό διάστημα εικοσιπέντε (25) ετών επί αρχικώς </w:t>
      </w:r>
      <w:proofErr w:type="spellStart"/>
      <w:r w:rsidRPr="00AE35C2">
        <w:rPr>
          <w:spacing w:val="-5"/>
          <w:lang w:eastAsia="ar-SA"/>
        </w:rPr>
        <w:t>επενδεδυμένου</w:t>
      </w:r>
      <w:proofErr w:type="spellEnd"/>
      <w:r w:rsidRPr="00AE35C2">
        <w:rPr>
          <w:spacing w:val="-5"/>
          <w:lang w:eastAsia="ar-SA"/>
        </w:rPr>
        <w:t xml:space="preserve"> κεφαλαίου πέντε (5) εκ. € υπολογίζεται ετήσιο μοναδιαίο αντάλλαγμα, ανά μονάδα ισχύος </w:t>
      </w:r>
      <w:proofErr w:type="spellStart"/>
      <w:r w:rsidRPr="00AE35C2">
        <w:rPr>
          <w:spacing w:val="-5"/>
          <w:lang w:eastAsia="ar-SA"/>
        </w:rPr>
        <w:t>αεριοστροβίλου</w:t>
      </w:r>
      <w:proofErr w:type="spellEnd"/>
      <w:r w:rsidRPr="00AE35C2">
        <w:rPr>
          <w:spacing w:val="-5"/>
          <w:lang w:eastAsia="ar-SA"/>
        </w:rPr>
        <w:t xml:space="preserve"> (265 </w:t>
      </w:r>
      <w:r w:rsidRPr="00AE35C2">
        <w:rPr>
          <w:spacing w:val="-5"/>
          <w:lang w:val="en-US" w:eastAsia="ar-SA"/>
        </w:rPr>
        <w:t>MWe</w:t>
      </w:r>
      <w:r w:rsidRPr="00AE35C2">
        <w:rPr>
          <w:spacing w:val="-5"/>
          <w:lang w:eastAsia="ar-SA"/>
        </w:rPr>
        <w:t>)  το οποίο ισούται με 1844 €/</w:t>
      </w:r>
      <w:proofErr w:type="spellStart"/>
      <w:r w:rsidRPr="00AE35C2">
        <w:rPr>
          <w:spacing w:val="-5"/>
          <w:lang w:eastAsia="ar-SA"/>
        </w:rPr>
        <w:t>MWe</w:t>
      </w:r>
      <w:proofErr w:type="spellEnd"/>
      <w:r w:rsidRPr="00AE35C2">
        <w:rPr>
          <w:spacing w:val="-5"/>
          <w:lang w:eastAsia="ar-SA"/>
        </w:rPr>
        <w:t>, και ανά μονάδα ισχύος συνδυασμένου κύκλου 1221 €/</w:t>
      </w:r>
      <w:r w:rsidRPr="00AE35C2">
        <w:rPr>
          <w:spacing w:val="-5"/>
          <w:lang w:val="en-US" w:eastAsia="ar-SA"/>
        </w:rPr>
        <w:t>MWe</w:t>
      </w:r>
      <w:r w:rsidRPr="00AE35C2">
        <w:rPr>
          <w:spacing w:val="-5"/>
          <w:lang w:eastAsia="ar-SA"/>
        </w:rPr>
        <w:t xml:space="preserve">, εφόσον η ισχύς του </w:t>
      </w:r>
      <w:proofErr w:type="spellStart"/>
      <w:r w:rsidRPr="00AE35C2">
        <w:rPr>
          <w:spacing w:val="-5"/>
          <w:lang w:eastAsia="ar-SA"/>
        </w:rPr>
        <w:t>αεριοστροβιλικού</w:t>
      </w:r>
      <w:proofErr w:type="spellEnd"/>
      <w:r w:rsidRPr="00AE35C2">
        <w:rPr>
          <w:spacing w:val="-5"/>
          <w:lang w:eastAsia="ar-SA"/>
        </w:rPr>
        <w:t xml:space="preserve"> τμήματος δεν είναι γνωστή.</w:t>
      </w:r>
      <w:r w:rsidRPr="00AE35C2">
        <w:rPr>
          <w:color w:val="FF0000"/>
          <w:spacing w:val="-5"/>
          <w:lang w:eastAsia="ar-SA"/>
        </w:rPr>
        <w:t xml:space="preserve"> </w:t>
      </w:r>
      <w:r w:rsidRPr="00AE35C2">
        <w:rPr>
          <w:spacing w:val="-5"/>
          <w:lang w:eastAsia="ar-SA"/>
        </w:rPr>
        <w:t xml:space="preserve">γ) Τα αντίστοιχα μεγέθη για μονάδα κατασκευασμένη μετά το 2008 (ισχύς </w:t>
      </w:r>
      <w:r w:rsidRPr="00AE35C2">
        <w:rPr>
          <w:spacing w:val="-5"/>
          <w:lang w:eastAsia="ar-SA"/>
        </w:rPr>
        <w:lastRenderedPageBreak/>
        <w:t xml:space="preserve">συνδυασμένου κύκλου 420 </w:t>
      </w:r>
      <w:r w:rsidRPr="00AE35C2">
        <w:rPr>
          <w:spacing w:val="-5"/>
          <w:lang w:val="en-US" w:eastAsia="ar-SA"/>
        </w:rPr>
        <w:t>MW</w:t>
      </w:r>
      <w:r w:rsidRPr="00AE35C2">
        <w:rPr>
          <w:spacing w:val="-5"/>
          <w:lang w:eastAsia="ar-SA"/>
        </w:rPr>
        <w:t xml:space="preserve">, ισχύς </w:t>
      </w:r>
      <w:proofErr w:type="spellStart"/>
      <w:r w:rsidRPr="00AE35C2">
        <w:rPr>
          <w:spacing w:val="-5"/>
          <w:lang w:eastAsia="ar-SA"/>
        </w:rPr>
        <w:t>αεριοστροβίλου</w:t>
      </w:r>
      <w:proofErr w:type="spellEnd"/>
      <w:r w:rsidRPr="00AE35C2">
        <w:rPr>
          <w:spacing w:val="-5"/>
          <w:lang w:eastAsia="ar-SA"/>
        </w:rPr>
        <w:t xml:space="preserve"> ίσης με 285 </w:t>
      </w:r>
      <w:r w:rsidRPr="00AE35C2">
        <w:rPr>
          <w:spacing w:val="-5"/>
          <w:lang w:val="en-US" w:eastAsia="ar-SA"/>
        </w:rPr>
        <w:t>MWe</w:t>
      </w:r>
      <w:r w:rsidRPr="00AE35C2">
        <w:rPr>
          <w:spacing w:val="-5"/>
          <w:lang w:eastAsia="ar-SA"/>
        </w:rPr>
        <w:t>) ορίζονται ως 1988 €/</w:t>
      </w:r>
      <w:proofErr w:type="spellStart"/>
      <w:r w:rsidRPr="00AE35C2">
        <w:rPr>
          <w:spacing w:val="-5"/>
          <w:lang w:eastAsia="ar-SA"/>
        </w:rPr>
        <w:t>MWe</w:t>
      </w:r>
      <w:proofErr w:type="spellEnd"/>
      <w:r w:rsidRPr="00AE35C2">
        <w:rPr>
          <w:spacing w:val="-5"/>
          <w:lang w:eastAsia="ar-SA"/>
        </w:rPr>
        <w:t xml:space="preserve"> ανά μονάδα ισχύος </w:t>
      </w:r>
      <w:proofErr w:type="spellStart"/>
      <w:r w:rsidRPr="00AE35C2">
        <w:rPr>
          <w:spacing w:val="-5"/>
          <w:lang w:eastAsia="ar-SA"/>
        </w:rPr>
        <w:t>αεριοστροβίλου</w:t>
      </w:r>
      <w:proofErr w:type="spellEnd"/>
      <w:r w:rsidRPr="00AE35C2">
        <w:rPr>
          <w:spacing w:val="-5"/>
          <w:lang w:eastAsia="ar-SA"/>
        </w:rPr>
        <w:t>, και 1349 €/</w:t>
      </w:r>
      <w:r w:rsidRPr="00AE35C2">
        <w:rPr>
          <w:spacing w:val="-5"/>
          <w:lang w:val="en-US" w:eastAsia="ar-SA"/>
        </w:rPr>
        <w:t>MWe</w:t>
      </w:r>
      <w:r w:rsidRPr="00AE35C2">
        <w:rPr>
          <w:spacing w:val="-5"/>
          <w:lang w:eastAsia="ar-SA"/>
        </w:rPr>
        <w:t xml:space="preserve"> ανά μονάδα ισχύος συνδυασμένου κύκλου, εφόσον η ισχύς του </w:t>
      </w:r>
      <w:proofErr w:type="spellStart"/>
      <w:r w:rsidRPr="00AE35C2">
        <w:rPr>
          <w:spacing w:val="-5"/>
          <w:lang w:eastAsia="ar-SA"/>
        </w:rPr>
        <w:t>αεριοστροβιλικού</w:t>
      </w:r>
      <w:proofErr w:type="spellEnd"/>
      <w:r w:rsidRPr="00AE35C2">
        <w:rPr>
          <w:spacing w:val="-5"/>
          <w:lang w:eastAsia="ar-SA"/>
        </w:rPr>
        <w:t xml:space="preserve"> τμήματος δεν είναι γνωστή. Η τιμή της απόδοσης στο ύψος του 8,5% λαμβάνεται κατ’ αντιστοιχία απόδοσης η οποία αποδίδεται σε μονοπωλιακή δραστηριότητα, καθώς έχοντας ως γνώμονα την ελαχιστοποίηση της επιβάρυνσης των καταναλωτών από την παράμετρο αυτή, δεν κρίνεται σκόπιμη η χορήγηση υψηλότερης απόδοσης.</w:t>
      </w:r>
    </w:p>
    <w:p w14:paraId="459DC88D" w14:textId="77777777" w:rsidR="00433FED" w:rsidRPr="00AE35C2" w:rsidRDefault="00433FED" w:rsidP="00570B99">
      <w:pPr>
        <w:pStyle w:val="a7"/>
        <w:numPr>
          <w:ilvl w:val="0"/>
          <w:numId w:val="4"/>
        </w:numPr>
        <w:tabs>
          <w:tab w:val="left" w:pos="426"/>
        </w:tabs>
        <w:suppressAutoHyphens/>
        <w:spacing w:before="120" w:after="120" w:line="276" w:lineRule="auto"/>
        <w:ind w:left="426" w:hanging="426"/>
        <w:contextualSpacing w:val="0"/>
        <w:jc w:val="both"/>
        <w:rPr>
          <w:color w:val="FF0000"/>
          <w:spacing w:val="-5"/>
          <w:lang w:eastAsia="ar-SA"/>
        </w:rPr>
      </w:pPr>
      <w:r w:rsidRPr="00AE35C2">
        <w:rPr>
          <w:spacing w:val="-5"/>
          <w:lang w:eastAsia="ar-SA"/>
        </w:rPr>
        <w:t>Με βάση τις ως άνω εκτιμήσεις, το ετήσιο αντάλλαγμα ανά υφιστάμενη μονάδα παραγωγής ηλεκτρικής ενέργειας με υποχρέωση λειτουργίας με εναλλακτικό καύσιμο υπολογίζεται ως το γινόμενο των ως άνω συντελεστών με τη διαθέσιμη  ισχύ της κάθε μίας μονάδας με εναλλακτικό καύσιμο, όπως παρουσιάζεται στον Πίνακα 1.</w:t>
      </w:r>
    </w:p>
    <w:p w14:paraId="51239640" w14:textId="77777777" w:rsidR="00433FED" w:rsidRPr="00AE35C2" w:rsidRDefault="00433FED" w:rsidP="00570B99">
      <w:pPr>
        <w:tabs>
          <w:tab w:val="left" w:pos="720"/>
        </w:tabs>
        <w:suppressAutoHyphens/>
        <w:spacing w:before="120" w:after="120" w:line="276" w:lineRule="auto"/>
        <w:jc w:val="both"/>
        <w:rPr>
          <w:b/>
          <w:spacing w:val="-5"/>
          <w:sz w:val="22"/>
          <w:szCs w:val="22"/>
          <w:lang w:eastAsia="ar-SA"/>
        </w:rPr>
      </w:pPr>
      <w:r w:rsidRPr="00AE35C2">
        <w:rPr>
          <w:b/>
          <w:spacing w:val="-5"/>
          <w:sz w:val="22"/>
          <w:szCs w:val="22"/>
          <w:lang w:eastAsia="ar-SA"/>
        </w:rPr>
        <w:t xml:space="preserve">Πίνακας 1: </w:t>
      </w:r>
      <w:r w:rsidRPr="00AE35C2">
        <w:rPr>
          <w:bCs/>
          <w:spacing w:val="-5"/>
          <w:sz w:val="22"/>
          <w:szCs w:val="22"/>
          <w:lang w:eastAsia="ar-SA"/>
        </w:rPr>
        <w:t>Προϋπολογιστικό ετήσιο αντάλλαγμα ανά υφιστάμενη μονάδα με δυνατότητα εναλλακτικού καυσίμου για την κάλυψη του κεφαλαιουχικού κόστους των εγκαταστάσεων διατήρησης εναλλακτικού καυσίμου αυτής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765"/>
        <w:gridCol w:w="1819"/>
        <w:gridCol w:w="2118"/>
      </w:tblGrid>
      <w:tr w:rsidR="00433FED" w:rsidRPr="00AE35C2" w14:paraId="618C520E" w14:textId="77777777" w:rsidTr="007816B5">
        <w:trPr>
          <w:jc w:val="center"/>
        </w:trPr>
        <w:tc>
          <w:tcPr>
            <w:tcW w:w="2711" w:type="dxa"/>
            <w:shd w:val="clear" w:color="auto" w:fill="auto"/>
            <w:vAlign w:val="center"/>
          </w:tcPr>
          <w:p w14:paraId="5D47E49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p>
          <w:p w14:paraId="2A19A922"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Μονάδα παραγωγής ηλεκτρικής ενέργειας</w:t>
            </w:r>
          </w:p>
        </w:tc>
        <w:tc>
          <w:tcPr>
            <w:tcW w:w="1637" w:type="dxa"/>
            <w:shd w:val="clear" w:color="auto" w:fill="auto"/>
            <w:vAlign w:val="center"/>
          </w:tcPr>
          <w:p w14:paraId="357A583E"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p>
          <w:p w14:paraId="319802AA"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lang w:val="en-US"/>
              </w:rPr>
            </w:pPr>
            <w:r w:rsidRPr="00AE35C2">
              <w:rPr>
                <w:b/>
                <w:sz w:val="22"/>
                <w:szCs w:val="22"/>
              </w:rPr>
              <w:t>Εγκατεστημένη ισχύς (</w:t>
            </w:r>
            <w:r w:rsidRPr="00AE35C2">
              <w:rPr>
                <w:b/>
                <w:sz w:val="22"/>
                <w:szCs w:val="22"/>
                <w:lang w:val="en-US"/>
              </w:rPr>
              <w:t>MW</w:t>
            </w:r>
            <w:r w:rsidRPr="00AE35C2">
              <w:rPr>
                <w:b/>
                <w:sz w:val="22"/>
                <w:szCs w:val="22"/>
                <w:vertAlign w:val="subscript"/>
                <w:lang w:val="en-US"/>
              </w:rPr>
              <w:t>e</w:t>
            </w:r>
            <w:r w:rsidRPr="00AE35C2">
              <w:rPr>
                <w:b/>
                <w:sz w:val="22"/>
                <w:szCs w:val="22"/>
                <w:lang w:val="en-US"/>
              </w:rPr>
              <w:t>)</w:t>
            </w:r>
          </w:p>
        </w:tc>
        <w:tc>
          <w:tcPr>
            <w:tcW w:w="1871" w:type="dxa"/>
            <w:shd w:val="clear" w:color="auto" w:fill="auto"/>
            <w:vAlign w:val="center"/>
          </w:tcPr>
          <w:p w14:paraId="2FAAF9D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ml:space="preserve">Διαθέσιμη ισχύς με εναλλακτικό καύσιμο </w:t>
            </w:r>
          </w:p>
        </w:tc>
        <w:tc>
          <w:tcPr>
            <w:tcW w:w="2144" w:type="dxa"/>
            <w:shd w:val="clear" w:color="auto" w:fill="auto"/>
            <w:vAlign w:val="center"/>
          </w:tcPr>
          <w:p w14:paraId="4D3E9A65"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ml:space="preserve">Προϋπολογιστικό ετήσιο αντάλλαγμα </w:t>
            </w:r>
          </w:p>
          <w:p w14:paraId="75B5FBD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w:t>
            </w:r>
            <w:r w:rsidRPr="00AE35C2">
              <w:rPr>
                <w:b/>
                <w:sz w:val="22"/>
                <w:szCs w:val="22"/>
                <w:lang w:val="en-US"/>
              </w:rPr>
              <w:t xml:space="preserve"> x </w:t>
            </w:r>
            <w:r w:rsidRPr="00AE35C2">
              <w:rPr>
                <w:b/>
                <w:sz w:val="22"/>
                <w:szCs w:val="22"/>
              </w:rPr>
              <w:t>10</w:t>
            </w:r>
            <w:r w:rsidRPr="00AE35C2">
              <w:rPr>
                <w:b/>
                <w:sz w:val="22"/>
                <w:szCs w:val="22"/>
                <w:vertAlign w:val="superscript"/>
              </w:rPr>
              <w:t>3</w:t>
            </w:r>
            <w:r w:rsidRPr="00AE35C2">
              <w:rPr>
                <w:b/>
                <w:sz w:val="22"/>
                <w:szCs w:val="22"/>
              </w:rPr>
              <w:t xml:space="preserve">) </w:t>
            </w:r>
          </w:p>
        </w:tc>
      </w:tr>
      <w:tr w:rsidR="00433FED" w:rsidRPr="00AE35C2" w14:paraId="5D7B6F05" w14:textId="77777777" w:rsidTr="007816B5">
        <w:trPr>
          <w:jc w:val="center"/>
        </w:trPr>
        <w:tc>
          <w:tcPr>
            <w:tcW w:w="2711" w:type="dxa"/>
            <w:shd w:val="clear" w:color="auto" w:fill="auto"/>
          </w:tcPr>
          <w:p w14:paraId="5F34DE3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sz w:val="22"/>
                <w:szCs w:val="22"/>
              </w:rPr>
            </w:pPr>
            <w:r w:rsidRPr="00AE35C2">
              <w:rPr>
                <w:sz w:val="22"/>
                <w:szCs w:val="22"/>
              </w:rPr>
              <w:t>Κομοτηνή</w:t>
            </w:r>
          </w:p>
        </w:tc>
        <w:tc>
          <w:tcPr>
            <w:tcW w:w="1637" w:type="dxa"/>
            <w:shd w:val="clear" w:color="auto" w:fill="auto"/>
          </w:tcPr>
          <w:p w14:paraId="0A3CE85A"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484,6</w:t>
            </w:r>
          </w:p>
        </w:tc>
        <w:tc>
          <w:tcPr>
            <w:tcW w:w="1871" w:type="dxa"/>
            <w:shd w:val="clear" w:color="auto" w:fill="auto"/>
          </w:tcPr>
          <w:p w14:paraId="5DAA836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4</w:t>
            </w:r>
            <w:r w:rsidRPr="00AE35C2">
              <w:rPr>
                <w:sz w:val="22"/>
                <w:szCs w:val="22"/>
                <w:lang w:val="en-US"/>
              </w:rPr>
              <w:t>8</w:t>
            </w:r>
            <w:r w:rsidRPr="00AE35C2">
              <w:rPr>
                <w:sz w:val="22"/>
                <w:szCs w:val="22"/>
              </w:rPr>
              <w:t>3</w:t>
            </w:r>
          </w:p>
        </w:tc>
        <w:tc>
          <w:tcPr>
            <w:tcW w:w="2144" w:type="dxa"/>
            <w:shd w:val="clear" w:color="auto" w:fill="auto"/>
          </w:tcPr>
          <w:p w14:paraId="71802E4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590</w:t>
            </w:r>
          </w:p>
        </w:tc>
      </w:tr>
      <w:tr w:rsidR="00433FED" w:rsidRPr="00AE35C2" w14:paraId="47D1C6D9" w14:textId="77777777" w:rsidTr="007816B5">
        <w:trPr>
          <w:jc w:val="center"/>
        </w:trPr>
        <w:tc>
          <w:tcPr>
            <w:tcW w:w="2711" w:type="dxa"/>
            <w:shd w:val="clear" w:color="auto" w:fill="auto"/>
          </w:tcPr>
          <w:p w14:paraId="635EF2F3"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sz w:val="22"/>
                <w:szCs w:val="22"/>
                <w:lang w:val="en-US"/>
              </w:rPr>
            </w:pPr>
            <w:r w:rsidRPr="00AE35C2">
              <w:rPr>
                <w:sz w:val="22"/>
                <w:szCs w:val="22"/>
              </w:rPr>
              <w:t xml:space="preserve">Λαύριο </w:t>
            </w:r>
            <w:r w:rsidRPr="00AE35C2">
              <w:rPr>
                <w:sz w:val="22"/>
                <w:szCs w:val="22"/>
                <w:lang w:val="en-US"/>
              </w:rPr>
              <w:t>IV</w:t>
            </w:r>
          </w:p>
        </w:tc>
        <w:tc>
          <w:tcPr>
            <w:tcW w:w="1637" w:type="dxa"/>
            <w:shd w:val="clear" w:color="auto" w:fill="auto"/>
          </w:tcPr>
          <w:p w14:paraId="4C9B2FD7"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560</w:t>
            </w:r>
          </w:p>
        </w:tc>
        <w:tc>
          <w:tcPr>
            <w:tcW w:w="1871" w:type="dxa"/>
            <w:shd w:val="clear" w:color="auto" w:fill="auto"/>
          </w:tcPr>
          <w:p w14:paraId="7887239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530</w:t>
            </w:r>
          </w:p>
        </w:tc>
        <w:tc>
          <w:tcPr>
            <w:tcW w:w="2144" w:type="dxa"/>
            <w:shd w:val="clear" w:color="auto" w:fill="auto"/>
          </w:tcPr>
          <w:p w14:paraId="736D6BE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647</w:t>
            </w:r>
          </w:p>
        </w:tc>
      </w:tr>
      <w:tr w:rsidR="00433FED" w:rsidRPr="00AE35C2" w14:paraId="6BF39202" w14:textId="77777777" w:rsidTr="007816B5">
        <w:trPr>
          <w:jc w:val="center"/>
        </w:trPr>
        <w:tc>
          <w:tcPr>
            <w:tcW w:w="2711" w:type="dxa"/>
            <w:shd w:val="clear" w:color="auto" w:fill="auto"/>
          </w:tcPr>
          <w:p w14:paraId="55C660C0"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sz w:val="22"/>
                <w:szCs w:val="22"/>
              </w:rPr>
            </w:pPr>
            <w:r w:rsidRPr="00AE35C2">
              <w:rPr>
                <w:sz w:val="22"/>
                <w:szCs w:val="22"/>
              </w:rPr>
              <w:t>Ενεργειακή Θες/</w:t>
            </w:r>
            <w:proofErr w:type="spellStart"/>
            <w:r w:rsidRPr="00AE35C2">
              <w:rPr>
                <w:sz w:val="22"/>
                <w:szCs w:val="22"/>
              </w:rPr>
              <w:t>κης</w:t>
            </w:r>
            <w:proofErr w:type="spellEnd"/>
          </w:p>
        </w:tc>
        <w:tc>
          <w:tcPr>
            <w:tcW w:w="1637" w:type="dxa"/>
            <w:shd w:val="clear" w:color="auto" w:fill="auto"/>
          </w:tcPr>
          <w:p w14:paraId="367A917F"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408,4</w:t>
            </w:r>
          </w:p>
        </w:tc>
        <w:tc>
          <w:tcPr>
            <w:tcW w:w="1871" w:type="dxa"/>
            <w:shd w:val="clear" w:color="auto" w:fill="auto"/>
          </w:tcPr>
          <w:p w14:paraId="172C969F"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355,53</w:t>
            </w:r>
          </w:p>
        </w:tc>
        <w:tc>
          <w:tcPr>
            <w:tcW w:w="2144" w:type="dxa"/>
            <w:shd w:val="clear" w:color="auto" w:fill="auto"/>
          </w:tcPr>
          <w:p w14:paraId="249B114E"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434</w:t>
            </w:r>
          </w:p>
        </w:tc>
      </w:tr>
      <w:tr w:rsidR="00433FED" w:rsidRPr="00AE35C2" w14:paraId="64D4FE5D" w14:textId="77777777" w:rsidTr="007816B5">
        <w:trPr>
          <w:jc w:val="center"/>
        </w:trPr>
        <w:tc>
          <w:tcPr>
            <w:tcW w:w="2711" w:type="dxa"/>
            <w:shd w:val="clear" w:color="auto" w:fill="auto"/>
          </w:tcPr>
          <w:p w14:paraId="7A354B2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sz w:val="22"/>
                <w:szCs w:val="22"/>
              </w:rPr>
            </w:pPr>
            <w:r w:rsidRPr="00AE35C2">
              <w:rPr>
                <w:sz w:val="22"/>
                <w:szCs w:val="22"/>
              </w:rPr>
              <w:t xml:space="preserve">Ενεργειακή </w:t>
            </w:r>
            <w:proofErr w:type="spellStart"/>
            <w:r w:rsidRPr="00AE35C2">
              <w:rPr>
                <w:sz w:val="22"/>
                <w:szCs w:val="22"/>
              </w:rPr>
              <w:t>Θίσβης</w:t>
            </w:r>
            <w:proofErr w:type="spellEnd"/>
          </w:p>
        </w:tc>
        <w:tc>
          <w:tcPr>
            <w:tcW w:w="1637" w:type="dxa"/>
            <w:shd w:val="clear" w:color="auto" w:fill="auto"/>
          </w:tcPr>
          <w:p w14:paraId="69916E96"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421,6</w:t>
            </w:r>
          </w:p>
        </w:tc>
        <w:tc>
          <w:tcPr>
            <w:tcW w:w="1871" w:type="dxa"/>
            <w:shd w:val="clear" w:color="auto" w:fill="auto"/>
          </w:tcPr>
          <w:p w14:paraId="0B4C52BA"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288,42</w:t>
            </w:r>
          </w:p>
        </w:tc>
        <w:tc>
          <w:tcPr>
            <w:tcW w:w="2144" w:type="dxa"/>
            <w:shd w:val="clear" w:color="auto" w:fill="auto"/>
          </w:tcPr>
          <w:p w14:paraId="0A0E6212"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389</w:t>
            </w:r>
          </w:p>
        </w:tc>
      </w:tr>
      <w:tr w:rsidR="00433FED" w:rsidRPr="00AE35C2" w14:paraId="707E28C3" w14:textId="77777777" w:rsidTr="007816B5">
        <w:trPr>
          <w:jc w:val="center"/>
        </w:trPr>
        <w:tc>
          <w:tcPr>
            <w:tcW w:w="2711" w:type="dxa"/>
            <w:shd w:val="clear" w:color="auto" w:fill="auto"/>
          </w:tcPr>
          <w:p w14:paraId="5A2F2DF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sz w:val="22"/>
                <w:szCs w:val="22"/>
              </w:rPr>
            </w:pPr>
            <w:r w:rsidRPr="00AE35C2">
              <w:rPr>
                <w:sz w:val="22"/>
                <w:szCs w:val="22"/>
              </w:rPr>
              <w:t>Ήρων Θερμοηλεκτρική</w:t>
            </w:r>
          </w:p>
        </w:tc>
        <w:tc>
          <w:tcPr>
            <w:tcW w:w="1637" w:type="dxa"/>
            <w:shd w:val="clear" w:color="auto" w:fill="auto"/>
          </w:tcPr>
          <w:p w14:paraId="5F036A6B"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148,5</w:t>
            </w:r>
          </w:p>
        </w:tc>
        <w:tc>
          <w:tcPr>
            <w:tcW w:w="1871" w:type="dxa"/>
            <w:shd w:val="clear" w:color="auto" w:fill="auto"/>
          </w:tcPr>
          <w:p w14:paraId="2116773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137,67</w:t>
            </w:r>
          </w:p>
        </w:tc>
        <w:tc>
          <w:tcPr>
            <w:tcW w:w="2144" w:type="dxa"/>
            <w:shd w:val="clear" w:color="auto" w:fill="auto"/>
          </w:tcPr>
          <w:p w14:paraId="75E86BD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254</w:t>
            </w:r>
          </w:p>
        </w:tc>
      </w:tr>
      <w:tr w:rsidR="00433FED" w:rsidRPr="00AE35C2" w14:paraId="6A46C29E" w14:textId="77777777" w:rsidTr="007816B5">
        <w:trPr>
          <w:jc w:val="center"/>
        </w:trPr>
        <w:tc>
          <w:tcPr>
            <w:tcW w:w="2711" w:type="dxa"/>
            <w:shd w:val="clear" w:color="auto" w:fill="auto"/>
          </w:tcPr>
          <w:p w14:paraId="32EEC53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both"/>
              <w:rPr>
                <w:b/>
                <w:sz w:val="22"/>
                <w:szCs w:val="22"/>
              </w:rPr>
            </w:pPr>
            <w:r w:rsidRPr="00AE35C2">
              <w:rPr>
                <w:b/>
                <w:sz w:val="22"/>
                <w:szCs w:val="22"/>
              </w:rPr>
              <w:t>Σύνολο</w:t>
            </w:r>
          </w:p>
        </w:tc>
        <w:tc>
          <w:tcPr>
            <w:tcW w:w="1637" w:type="dxa"/>
            <w:shd w:val="clear" w:color="auto" w:fill="auto"/>
          </w:tcPr>
          <w:p w14:paraId="0D118D8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2.023,1</w:t>
            </w:r>
          </w:p>
        </w:tc>
        <w:tc>
          <w:tcPr>
            <w:tcW w:w="1871" w:type="dxa"/>
            <w:shd w:val="clear" w:color="auto" w:fill="auto"/>
          </w:tcPr>
          <w:p w14:paraId="756E474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1</w:t>
            </w:r>
            <w:r w:rsidRPr="00AE35C2">
              <w:rPr>
                <w:b/>
                <w:sz w:val="22"/>
                <w:szCs w:val="22"/>
                <w:lang w:val="en-US"/>
              </w:rPr>
              <w:t>.</w:t>
            </w:r>
            <w:r w:rsidRPr="00AE35C2">
              <w:rPr>
                <w:b/>
                <w:sz w:val="22"/>
                <w:szCs w:val="22"/>
              </w:rPr>
              <w:t>794,62</w:t>
            </w:r>
          </w:p>
        </w:tc>
        <w:tc>
          <w:tcPr>
            <w:tcW w:w="2144" w:type="dxa"/>
            <w:shd w:val="clear" w:color="auto" w:fill="auto"/>
          </w:tcPr>
          <w:p w14:paraId="22B08E10"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lang w:val="en-US"/>
              </w:rPr>
            </w:pPr>
            <w:r w:rsidRPr="00AE35C2">
              <w:rPr>
                <w:b/>
                <w:sz w:val="22"/>
                <w:szCs w:val="22"/>
              </w:rPr>
              <w:t>2</w:t>
            </w:r>
            <w:r w:rsidRPr="00AE35C2">
              <w:rPr>
                <w:b/>
                <w:sz w:val="22"/>
                <w:szCs w:val="22"/>
                <w:lang w:val="en-US"/>
              </w:rPr>
              <w:t>.</w:t>
            </w:r>
            <w:r w:rsidRPr="00AE35C2">
              <w:rPr>
                <w:b/>
                <w:sz w:val="22"/>
                <w:szCs w:val="22"/>
              </w:rPr>
              <w:t>315</w:t>
            </w:r>
          </w:p>
        </w:tc>
      </w:tr>
    </w:tbl>
    <w:p w14:paraId="53EA87C4" w14:textId="77777777" w:rsidR="00433FED" w:rsidRPr="00AE35C2" w:rsidRDefault="00433FED" w:rsidP="00570B99">
      <w:pPr>
        <w:pStyle w:val="a7"/>
        <w:numPr>
          <w:ilvl w:val="0"/>
          <w:numId w:val="4"/>
        </w:numPr>
        <w:tabs>
          <w:tab w:val="left" w:pos="720"/>
        </w:tabs>
        <w:suppressAutoHyphens/>
        <w:spacing w:before="120" w:after="120" w:line="276" w:lineRule="auto"/>
        <w:contextualSpacing w:val="0"/>
        <w:jc w:val="both"/>
        <w:rPr>
          <w:spacing w:val="-5"/>
          <w:u w:val="single"/>
          <w:lang w:eastAsia="ar-SA"/>
        </w:rPr>
      </w:pPr>
      <w:r w:rsidRPr="00AE35C2">
        <w:rPr>
          <w:spacing w:val="-5"/>
          <w:lang w:eastAsia="ar-SA"/>
        </w:rPr>
        <w:t xml:space="preserve">Με βάση τους υπολογισμούς, όπως παρουσιάζονται στον Πίνακα 1, το ετήσιο αντάλλαγμα που δύναται να καταβάλλεται από τον Διαχειριστή στις υφιστάμενες μονάδες παραγωγής ηλεκτρικής ενέργειας στην ελληνική Επικράτεια με υποχρέωση λειτουργίας με εναλλακτικό καύσιμο </w:t>
      </w:r>
      <w:r w:rsidRPr="00AE35C2">
        <w:rPr>
          <w:spacing w:val="-5"/>
          <w:u w:val="single"/>
          <w:lang w:eastAsia="ar-SA"/>
        </w:rPr>
        <w:t xml:space="preserve">για την κάλυψη του κεφαλαιουχικού κόστους των εγκαταστάσεων διατήρησης εναλλακτικού καυσίμου στους ανωτέρω σταθμούς ανέρχεται συνολικά σε </w:t>
      </w:r>
      <w:r w:rsidRPr="00AE35C2">
        <w:rPr>
          <w:b/>
          <w:bCs/>
          <w:spacing w:val="-5"/>
          <w:u w:val="single"/>
          <w:lang w:eastAsia="ar-SA"/>
        </w:rPr>
        <w:t>2,32 εκ. €</w:t>
      </w:r>
      <w:r w:rsidRPr="00AE35C2">
        <w:rPr>
          <w:spacing w:val="-5"/>
          <w:u w:val="single"/>
          <w:lang w:eastAsia="ar-SA"/>
        </w:rPr>
        <w:t>.</w:t>
      </w:r>
      <w:r w:rsidRPr="00AE35C2">
        <w:rPr>
          <w:b/>
          <w:spacing w:val="-5"/>
          <w:u w:val="single"/>
          <w:lang w:eastAsia="ar-SA"/>
        </w:rPr>
        <w:t xml:space="preserve"> </w:t>
      </w:r>
    </w:p>
    <w:p w14:paraId="67674C5B" w14:textId="77777777" w:rsidR="00433FED" w:rsidRPr="00AE35C2" w:rsidRDefault="00433FED" w:rsidP="00570B99">
      <w:pPr>
        <w:pStyle w:val="a7"/>
        <w:numPr>
          <w:ilvl w:val="0"/>
          <w:numId w:val="4"/>
        </w:numPr>
        <w:tabs>
          <w:tab w:val="left" w:pos="720"/>
        </w:tabs>
        <w:suppressAutoHyphens/>
        <w:spacing w:before="120" w:after="120" w:line="276" w:lineRule="auto"/>
        <w:contextualSpacing w:val="0"/>
        <w:jc w:val="both"/>
        <w:rPr>
          <w:spacing w:val="-5"/>
          <w:u w:val="single"/>
          <w:lang w:eastAsia="ar-SA"/>
        </w:rPr>
      </w:pPr>
      <w:r w:rsidRPr="00AE35C2">
        <w:rPr>
          <w:spacing w:val="-5"/>
          <w:lang w:eastAsia="ar-SA"/>
        </w:rPr>
        <w:t xml:space="preserve">Σε ό,τι αφορά τον υπολογισμό του </w:t>
      </w:r>
      <w:r w:rsidRPr="00AE35C2">
        <w:rPr>
          <w:b/>
          <w:spacing w:val="-5"/>
          <w:lang w:eastAsia="ar-SA"/>
        </w:rPr>
        <w:t>κεφαλαιουχικού κόστους διατήρησης αποθεμάτων πετρελαίου</w:t>
      </w:r>
      <w:r w:rsidRPr="00AE35C2">
        <w:rPr>
          <w:spacing w:val="-5"/>
          <w:lang w:eastAsia="ar-SA"/>
        </w:rPr>
        <w:t xml:space="preserve"> (που καλύπτει το χρηματοοικονομικό κόστος τήρησης των αποθεμάτων καυσίμου) στις εγκαταστάσεις παραγωγής ηλεκτρικής ενέργειας με υποχρέωση λειτουργίας με εναλλακτικό καύσιμο εκτιμώνται τα ακόλουθα: α) Για τον υπολογισμό του κεφαλαιουχικού κόστους λαμβάνεται υπόψη το κόστος αγοράς του καυσίμου και απόδοση </w:t>
      </w:r>
      <w:proofErr w:type="spellStart"/>
      <w:r w:rsidRPr="00AE35C2">
        <w:rPr>
          <w:spacing w:val="-5"/>
          <w:lang w:eastAsia="ar-SA"/>
        </w:rPr>
        <w:t>επτάμιση</w:t>
      </w:r>
      <w:proofErr w:type="spellEnd"/>
      <w:r w:rsidRPr="00AE35C2">
        <w:rPr>
          <w:spacing w:val="-5"/>
          <w:lang w:eastAsia="ar-SA"/>
        </w:rPr>
        <w:t xml:space="preserve"> τοις εκατό (7,5%). β) Εφαρμόζοντας την ανωτέρω απόδοση επί τιμής προμήθειας καυσίμου προ ΦΠΑ στο ύψος των χιλίων τετρακοσίων σαράντα ευρώ το χιλιόλιτρο (1440 €/</w:t>
      </w:r>
      <w:proofErr w:type="spellStart"/>
      <w:r w:rsidRPr="00AE35C2">
        <w:rPr>
          <w:spacing w:val="-5"/>
          <w:lang w:eastAsia="ar-SA"/>
        </w:rPr>
        <w:t>klt</w:t>
      </w:r>
      <w:proofErr w:type="spellEnd"/>
      <w:r w:rsidRPr="00AE35C2">
        <w:rPr>
          <w:spacing w:val="-5"/>
          <w:lang w:eastAsia="ar-SA"/>
        </w:rPr>
        <w:t>) (η τιμή προμήθειας που τελικά αποζημιώνεται προκύπτει από τα τιμολόγια προμήθειας</w:t>
      </w:r>
      <w:bookmarkStart w:id="3" w:name="_Hlk532210173"/>
      <w:r w:rsidRPr="00AE35C2">
        <w:rPr>
          <w:spacing w:val="-5"/>
          <w:lang w:eastAsia="ar-SA"/>
        </w:rPr>
        <w:t xml:space="preserve">), </w:t>
      </w:r>
      <w:bookmarkEnd w:id="3"/>
      <w:r w:rsidRPr="00AE35C2">
        <w:rPr>
          <w:spacing w:val="-5"/>
          <w:lang w:eastAsia="ar-SA"/>
        </w:rPr>
        <w:t xml:space="preserve">η </w:t>
      </w:r>
      <w:proofErr w:type="spellStart"/>
      <w:r w:rsidRPr="00AE35C2">
        <w:rPr>
          <w:spacing w:val="-5"/>
          <w:lang w:eastAsia="ar-SA"/>
        </w:rPr>
        <w:t>μοναδιαία</w:t>
      </w:r>
      <w:proofErr w:type="spellEnd"/>
      <w:r w:rsidRPr="00AE35C2">
        <w:rPr>
          <w:spacing w:val="-5"/>
          <w:lang w:eastAsia="ar-SA"/>
        </w:rPr>
        <w:t xml:space="preserve"> τιμή του ανταλλάγματος υπολογίζεται σε 108 €/</w:t>
      </w:r>
      <w:proofErr w:type="spellStart"/>
      <w:r w:rsidRPr="00AE35C2">
        <w:rPr>
          <w:spacing w:val="-5"/>
          <w:lang w:eastAsia="ar-SA"/>
        </w:rPr>
        <w:t>klt</w:t>
      </w:r>
      <w:proofErr w:type="spellEnd"/>
      <w:r w:rsidRPr="00AE35C2">
        <w:rPr>
          <w:spacing w:val="-5"/>
          <w:lang w:eastAsia="ar-SA"/>
        </w:rPr>
        <w:t xml:space="preserve"> ανά έτος. γ) Το συνολικό ύψος του ανταλλάγματος προκύπτει από το γινόμενο της υπό β μοναδιαίας τιμής και του  ελάχιστου αποθέματος ασφαλείας που πρέπει να τηρείται στους σταθμούς κατά τη διάρκεια του έτους. δ) Το εκτιμώμενο ελάχιστο απόθεμα ασφαλείας ανέρχεται στην ποσότητα που απαιτείται για πενθήμερη </w:t>
      </w:r>
      <w:r w:rsidRPr="00AE35C2">
        <w:rPr>
          <w:spacing w:val="-5"/>
          <w:lang w:eastAsia="ar-SA"/>
        </w:rPr>
        <w:lastRenderedPageBreak/>
        <w:t>φόρτιση των σταθμών αυτών (θεωρώντας λειτουργία 16 ωρών ημερησίως σε πλήρες φορτίο), όπως παρουσιάζεται στον Πίνακα 2.</w:t>
      </w:r>
      <w:r w:rsidRPr="00AE35C2">
        <w:rPr>
          <w:color w:val="FF0000"/>
          <w:spacing w:val="-5"/>
          <w:lang w:eastAsia="ar-SA"/>
        </w:rPr>
        <w:t xml:space="preserve"> </w:t>
      </w:r>
      <w:r w:rsidRPr="00AE35C2">
        <w:rPr>
          <w:spacing w:val="-5"/>
          <w:lang w:eastAsia="ar-SA"/>
        </w:rPr>
        <w:t xml:space="preserve">Για τις μονάδες Κομοτηνή, Λαύριο </w:t>
      </w:r>
      <w:r w:rsidRPr="00AE35C2">
        <w:rPr>
          <w:spacing w:val="-5"/>
          <w:lang w:val="en-US" w:eastAsia="ar-SA"/>
        </w:rPr>
        <w:t>IV</w:t>
      </w:r>
      <w:r w:rsidRPr="00AE35C2">
        <w:rPr>
          <w:spacing w:val="-5"/>
          <w:lang w:eastAsia="ar-SA"/>
        </w:rPr>
        <w:t xml:space="preserve"> και Ενεργειακή </w:t>
      </w:r>
      <w:proofErr w:type="spellStart"/>
      <w:r w:rsidRPr="00AE35C2">
        <w:rPr>
          <w:spacing w:val="-5"/>
          <w:lang w:eastAsia="ar-SA"/>
        </w:rPr>
        <w:t>Θίσβης</w:t>
      </w:r>
      <w:proofErr w:type="spellEnd"/>
      <w:r w:rsidRPr="00AE35C2">
        <w:rPr>
          <w:spacing w:val="-5"/>
          <w:lang w:eastAsia="ar-SA"/>
        </w:rPr>
        <w:t xml:space="preserve"> το εκτιμώμενο ελάχιστο απόθεμα ασφαλείας ανέρχεται επομένως στην ποσότητα αποθέματος ασφαλείας πέντε (5) ημερών, όπως παρουσιάζεται στον Πίνακα 2. Για τις μονάδες Ενεργειακή Θεσσαλονίκης και Ήρων Θερμοηλεκτρική αντίστοιχα το εκτιμώμενο ελάχιστο απόθεμα ασφαλείας ανέρχεται σε απόθεμα μίας (1) ημέρας, καθότι λόγω της εγγύτητας της πρώτης μονάδας με διυλιστήριο και λόγω του γεγονότος ότι η δεύτερη μονάδα έχει υποβάλει στη ΡΑΕ σύμβαση προμήθειας καυσίμου (κατά τα προβλεπόμενα στον σχετικό όρο της άδειας παραγωγής της μονάδας αυτής) εξασφαλίζεται κατά αυτόν τον τρόπο πενθήμερη ενδιάμεση φόρτιση των σταθμών αυτών. Οι κάτοχοι των Αδειών Παραγωγής των μονάδων με υποχρέωση τήρησης αποθέματος ασφαλείας μίας (1) ημέρας, υποχρεούνται να υποβάλουν στη ΡΑΕ, σε ετήσια βάση, αντίγραφο της σύμβασης με εταιρεία προμήθειας υγρών καυσίμων που αναλαμβάνει την αναπλήρωση των αποθεμάτων εναλλακτικού καυσίμου (</w:t>
      </w:r>
      <w:r w:rsidRPr="00AE35C2">
        <w:rPr>
          <w:spacing w:val="-5"/>
          <w:lang w:val="en-US" w:eastAsia="ar-SA"/>
        </w:rPr>
        <w:t>diesel</w:t>
      </w:r>
      <w:r w:rsidRPr="00AE35C2">
        <w:rPr>
          <w:spacing w:val="-5"/>
          <w:lang w:eastAsia="ar-SA"/>
        </w:rPr>
        <w:t>) κάθε σταθμού. Το εκτιμώμενο απόθεμα ασφαλείας, καθώς και το προϋπολογιστικό ετήσιο αντάλλαγμα για κάθε μονάδα, καταγράφονται στον Πίνακα 2.</w:t>
      </w:r>
    </w:p>
    <w:p w14:paraId="00E93D51" w14:textId="77777777" w:rsidR="00433FED" w:rsidRPr="00AE35C2" w:rsidRDefault="00433FED" w:rsidP="00570B99">
      <w:pPr>
        <w:tabs>
          <w:tab w:val="left" w:pos="720"/>
        </w:tabs>
        <w:suppressAutoHyphens/>
        <w:spacing w:before="120" w:after="120" w:line="276" w:lineRule="auto"/>
        <w:jc w:val="both"/>
        <w:rPr>
          <w:b/>
          <w:spacing w:val="-5"/>
          <w:sz w:val="22"/>
          <w:szCs w:val="22"/>
          <w:lang w:eastAsia="ar-SA"/>
        </w:rPr>
      </w:pPr>
      <w:r w:rsidRPr="00AE35C2">
        <w:rPr>
          <w:b/>
          <w:spacing w:val="-5"/>
          <w:sz w:val="22"/>
          <w:szCs w:val="22"/>
          <w:lang w:eastAsia="ar-SA"/>
        </w:rPr>
        <w:t xml:space="preserve">Πίνακας 2: </w:t>
      </w:r>
      <w:r w:rsidRPr="00AE35C2">
        <w:rPr>
          <w:bCs/>
          <w:spacing w:val="-5"/>
          <w:sz w:val="22"/>
          <w:szCs w:val="22"/>
          <w:lang w:eastAsia="ar-SA"/>
        </w:rPr>
        <w:t>Προϋπολογιστικό ετήσιο αντάλλαγμα μονάδων ηλεκτροπαραγωγής για το χρηματοοικονομικό κόστος τήρησης αποθέματος ασφαλείας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42"/>
        <w:gridCol w:w="1321"/>
        <w:gridCol w:w="1521"/>
        <w:gridCol w:w="1973"/>
      </w:tblGrid>
      <w:tr w:rsidR="00433FED" w:rsidRPr="00AE35C2" w14:paraId="41F638DC" w14:textId="77777777" w:rsidTr="007816B5">
        <w:trPr>
          <w:jc w:val="center"/>
        </w:trPr>
        <w:tc>
          <w:tcPr>
            <w:tcW w:w="2028" w:type="dxa"/>
            <w:vMerge w:val="restart"/>
            <w:shd w:val="clear" w:color="auto" w:fill="auto"/>
            <w:vAlign w:val="center"/>
          </w:tcPr>
          <w:p w14:paraId="0EE2026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Μονάδα παραγωγής ηλεκτρικής ενέργειας</w:t>
            </w:r>
          </w:p>
        </w:tc>
        <w:tc>
          <w:tcPr>
            <w:tcW w:w="1588" w:type="dxa"/>
            <w:vMerge w:val="restart"/>
            <w:vAlign w:val="center"/>
          </w:tcPr>
          <w:p w14:paraId="0F81EE54"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ml:space="preserve">Διαθέσιμη ισχύς με εναλλακτικό καύσιμο </w:t>
            </w:r>
          </w:p>
        </w:tc>
        <w:tc>
          <w:tcPr>
            <w:tcW w:w="2951" w:type="dxa"/>
            <w:gridSpan w:val="2"/>
            <w:shd w:val="clear" w:color="auto" w:fill="auto"/>
            <w:vAlign w:val="center"/>
          </w:tcPr>
          <w:p w14:paraId="06A0B624"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Απόθεμα καυσίμου (</w:t>
            </w:r>
            <w:proofErr w:type="spellStart"/>
            <w:r w:rsidRPr="00AE35C2">
              <w:rPr>
                <w:b/>
                <w:sz w:val="22"/>
                <w:szCs w:val="22"/>
              </w:rPr>
              <w:t>klt</w:t>
            </w:r>
            <w:proofErr w:type="spellEnd"/>
            <w:r w:rsidRPr="00AE35C2">
              <w:rPr>
                <w:b/>
                <w:sz w:val="22"/>
                <w:szCs w:val="22"/>
              </w:rPr>
              <w:t>)</w:t>
            </w:r>
          </w:p>
        </w:tc>
        <w:tc>
          <w:tcPr>
            <w:tcW w:w="1992" w:type="dxa"/>
            <w:vMerge w:val="restart"/>
            <w:shd w:val="clear" w:color="auto" w:fill="auto"/>
            <w:vAlign w:val="center"/>
          </w:tcPr>
          <w:p w14:paraId="5E7845F3"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ml:space="preserve">Προϋπολογιστικό ετήσιο αντάλλαγμα </w:t>
            </w:r>
          </w:p>
          <w:p w14:paraId="47206CAE"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 10</w:t>
            </w:r>
            <w:r w:rsidRPr="00AE35C2">
              <w:rPr>
                <w:b/>
                <w:sz w:val="22"/>
                <w:szCs w:val="22"/>
                <w:vertAlign w:val="superscript"/>
              </w:rPr>
              <w:t>3</w:t>
            </w:r>
            <w:r w:rsidRPr="00AE35C2">
              <w:rPr>
                <w:b/>
                <w:sz w:val="22"/>
                <w:szCs w:val="22"/>
              </w:rPr>
              <w:t>)</w:t>
            </w:r>
          </w:p>
        </w:tc>
      </w:tr>
      <w:tr w:rsidR="00433FED" w:rsidRPr="00AE35C2" w14:paraId="4012FB1B" w14:textId="77777777" w:rsidTr="007816B5">
        <w:trPr>
          <w:trHeight w:val="274"/>
          <w:jc w:val="center"/>
        </w:trPr>
        <w:tc>
          <w:tcPr>
            <w:tcW w:w="2028" w:type="dxa"/>
            <w:vMerge/>
            <w:shd w:val="clear" w:color="auto" w:fill="auto"/>
            <w:vAlign w:val="center"/>
          </w:tcPr>
          <w:p w14:paraId="1DF02E1C"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p>
        </w:tc>
        <w:tc>
          <w:tcPr>
            <w:tcW w:w="1588" w:type="dxa"/>
            <w:vMerge/>
            <w:shd w:val="clear" w:color="auto" w:fill="auto"/>
            <w:vAlign w:val="center"/>
          </w:tcPr>
          <w:p w14:paraId="2225A803"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p>
        </w:tc>
        <w:tc>
          <w:tcPr>
            <w:tcW w:w="1381" w:type="dxa"/>
            <w:shd w:val="clear" w:color="auto" w:fill="auto"/>
            <w:vAlign w:val="center"/>
          </w:tcPr>
          <w:p w14:paraId="19AB4BA4"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Ημερήσιο απόθεμα</w:t>
            </w:r>
          </w:p>
        </w:tc>
        <w:tc>
          <w:tcPr>
            <w:tcW w:w="1570" w:type="dxa"/>
            <w:shd w:val="clear" w:color="auto" w:fill="auto"/>
            <w:vAlign w:val="center"/>
          </w:tcPr>
          <w:p w14:paraId="5B81902B"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Εκτιμώμενο απόθεμα ασφαλείας</w:t>
            </w:r>
          </w:p>
        </w:tc>
        <w:tc>
          <w:tcPr>
            <w:tcW w:w="1992" w:type="dxa"/>
            <w:vMerge/>
            <w:shd w:val="clear" w:color="auto" w:fill="auto"/>
            <w:vAlign w:val="bottom"/>
          </w:tcPr>
          <w:p w14:paraId="1484A74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p>
        </w:tc>
      </w:tr>
      <w:tr w:rsidR="00433FED" w:rsidRPr="00AE35C2" w14:paraId="697711EF" w14:textId="77777777" w:rsidTr="007816B5">
        <w:trPr>
          <w:jc w:val="center"/>
        </w:trPr>
        <w:tc>
          <w:tcPr>
            <w:tcW w:w="2028" w:type="dxa"/>
            <w:shd w:val="clear" w:color="auto" w:fill="auto"/>
          </w:tcPr>
          <w:p w14:paraId="33381540"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 xml:space="preserve">Κομοτηνή </w:t>
            </w:r>
            <w:r w:rsidRPr="00AE35C2">
              <w:rPr>
                <w:sz w:val="22"/>
                <w:szCs w:val="22"/>
              </w:rPr>
              <w:tab/>
            </w:r>
          </w:p>
        </w:tc>
        <w:tc>
          <w:tcPr>
            <w:tcW w:w="1588" w:type="dxa"/>
            <w:shd w:val="clear" w:color="auto" w:fill="auto"/>
          </w:tcPr>
          <w:p w14:paraId="0993F4F2"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rPr>
              <w:t>4</w:t>
            </w:r>
            <w:r w:rsidRPr="00AE35C2">
              <w:rPr>
                <w:sz w:val="22"/>
                <w:szCs w:val="22"/>
                <w:lang w:val="en-US"/>
              </w:rPr>
              <w:t>8</w:t>
            </w:r>
            <w:r w:rsidRPr="00AE35C2">
              <w:rPr>
                <w:sz w:val="22"/>
                <w:szCs w:val="22"/>
              </w:rPr>
              <w:t>3</w:t>
            </w:r>
          </w:p>
        </w:tc>
        <w:tc>
          <w:tcPr>
            <w:tcW w:w="1381" w:type="dxa"/>
            <w:shd w:val="clear" w:color="auto" w:fill="auto"/>
          </w:tcPr>
          <w:p w14:paraId="0C28A057"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rPr>
              <w:t>1.606</w:t>
            </w:r>
          </w:p>
        </w:tc>
        <w:tc>
          <w:tcPr>
            <w:tcW w:w="1570" w:type="dxa"/>
            <w:shd w:val="clear" w:color="auto" w:fill="auto"/>
          </w:tcPr>
          <w:p w14:paraId="0D9BD47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1.60</w:t>
            </w:r>
            <w:r w:rsidRPr="00AE35C2">
              <w:rPr>
                <w:sz w:val="22"/>
                <w:szCs w:val="22"/>
              </w:rPr>
              <w:t>6</w:t>
            </w:r>
            <w:r w:rsidRPr="00AE35C2">
              <w:rPr>
                <w:sz w:val="22"/>
                <w:szCs w:val="22"/>
                <w:lang w:val="en-US"/>
              </w:rPr>
              <w:t xml:space="preserve"> </w:t>
            </w:r>
            <w:r w:rsidRPr="00AE35C2">
              <w:rPr>
                <w:sz w:val="22"/>
                <w:szCs w:val="22"/>
              </w:rPr>
              <w:t>x 5</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14:paraId="2E32AF2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867</w:t>
            </w:r>
          </w:p>
        </w:tc>
      </w:tr>
      <w:tr w:rsidR="00433FED" w:rsidRPr="00AE35C2" w14:paraId="752C5A57" w14:textId="77777777" w:rsidTr="007816B5">
        <w:trPr>
          <w:jc w:val="center"/>
        </w:trPr>
        <w:tc>
          <w:tcPr>
            <w:tcW w:w="2028" w:type="dxa"/>
            <w:shd w:val="clear" w:color="auto" w:fill="auto"/>
          </w:tcPr>
          <w:p w14:paraId="17F7EDB2"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 xml:space="preserve">Λαύριο IV </w:t>
            </w:r>
            <w:r w:rsidRPr="00AE35C2">
              <w:rPr>
                <w:sz w:val="22"/>
                <w:szCs w:val="22"/>
              </w:rPr>
              <w:tab/>
            </w:r>
          </w:p>
        </w:tc>
        <w:tc>
          <w:tcPr>
            <w:tcW w:w="1588" w:type="dxa"/>
            <w:shd w:val="clear" w:color="auto" w:fill="auto"/>
          </w:tcPr>
          <w:p w14:paraId="1D66806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rPr>
              <w:t>530</w:t>
            </w:r>
          </w:p>
        </w:tc>
        <w:tc>
          <w:tcPr>
            <w:tcW w:w="1381" w:type="dxa"/>
            <w:shd w:val="clear" w:color="auto" w:fill="auto"/>
          </w:tcPr>
          <w:p w14:paraId="0058FF36"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rPr>
              <w:t>1.831</w:t>
            </w:r>
          </w:p>
        </w:tc>
        <w:tc>
          <w:tcPr>
            <w:tcW w:w="1570" w:type="dxa"/>
            <w:shd w:val="clear" w:color="auto" w:fill="auto"/>
            <w:vAlign w:val="bottom"/>
          </w:tcPr>
          <w:p w14:paraId="71435D88"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rPr>
              <w:t>1.831 x 5</w:t>
            </w:r>
          </w:p>
        </w:tc>
        <w:tc>
          <w:tcPr>
            <w:tcW w:w="1992" w:type="dxa"/>
            <w:tcBorders>
              <w:top w:val="nil"/>
              <w:left w:val="single" w:sz="4" w:space="0" w:color="auto"/>
              <w:bottom w:val="single" w:sz="4" w:space="0" w:color="auto"/>
              <w:right w:val="single" w:sz="4" w:space="0" w:color="auto"/>
            </w:tcBorders>
            <w:shd w:val="clear" w:color="auto" w:fill="auto"/>
            <w:vAlign w:val="bottom"/>
          </w:tcPr>
          <w:p w14:paraId="40681CF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988</w:t>
            </w:r>
          </w:p>
        </w:tc>
      </w:tr>
      <w:tr w:rsidR="00433FED" w:rsidRPr="00AE35C2" w14:paraId="7F21BE01" w14:textId="77777777" w:rsidTr="007816B5">
        <w:trPr>
          <w:jc w:val="center"/>
        </w:trPr>
        <w:tc>
          <w:tcPr>
            <w:tcW w:w="2028" w:type="dxa"/>
            <w:shd w:val="clear" w:color="auto" w:fill="auto"/>
          </w:tcPr>
          <w:p w14:paraId="4192AC4C"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rPr>
                <w:sz w:val="22"/>
                <w:szCs w:val="22"/>
              </w:rPr>
            </w:pPr>
            <w:r w:rsidRPr="00AE35C2">
              <w:rPr>
                <w:sz w:val="22"/>
                <w:szCs w:val="22"/>
              </w:rPr>
              <w:t>Ενεργειακή Θες/</w:t>
            </w:r>
            <w:proofErr w:type="spellStart"/>
            <w:r w:rsidRPr="00AE35C2">
              <w:rPr>
                <w:sz w:val="22"/>
                <w:szCs w:val="22"/>
              </w:rPr>
              <w:t>κης</w:t>
            </w:r>
            <w:proofErr w:type="spellEnd"/>
          </w:p>
        </w:tc>
        <w:tc>
          <w:tcPr>
            <w:tcW w:w="1588" w:type="dxa"/>
            <w:shd w:val="clear" w:color="auto" w:fill="auto"/>
          </w:tcPr>
          <w:p w14:paraId="32E8C0A5"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355,53</w:t>
            </w:r>
          </w:p>
        </w:tc>
        <w:tc>
          <w:tcPr>
            <w:tcW w:w="1381" w:type="dxa"/>
            <w:shd w:val="clear" w:color="auto" w:fill="auto"/>
            <w:vAlign w:val="center"/>
          </w:tcPr>
          <w:p w14:paraId="26333609"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1.260</w:t>
            </w:r>
          </w:p>
        </w:tc>
        <w:tc>
          <w:tcPr>
            <w:tcW w:w="1570" w:type="dxa"/>
            <w:shd w:val="clear" w:color="auto" w:fill="auto"/>
            <w:vAlign w:val="center"/>
          </w:tcPr>
          <w:p w14:paraId="15ACC4AC"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w:t>
            </w:r>
            <w:r w:rsidRPr="00AE35C2">
              <w:rPr>
                <w:sz w:val="22"/>
                <w:szCs w:val="22"/>
                <w:lang w:val="en-US"/>
              </w:rPr>
              <w:t>.</w:t>
            </w:r>
            <w:r w:rsidRPr="00AE35C2">
              <w:rPr>
                <w:sz w:val="22"/>
                <w:szCs w:val="22"/>
              </w:rPr>
              <w:t>260 x 1</w:t>
            </w:r>
          </w:p>
        </w:tc>
        <w:tc>
          <w:tcPr>
            <w:tcW w:w="1992" w:type="dxa"/>
            <w:tcBorders>
              <w:top w:val="nil"/>
              <w:left w:val="single" w:sz="4" w:space="0" w:color="auto"/>
              <w:bottom w:val="single" w:sz="4" w:space="0" w:color="auto"/>
              <w:right w:val="single" w:sz="4" w:space="0" w:color="auto"/>
            </w:tcBorders>
            <w:shd w:val="clear" w:color="auto" w:fill="auto"/>
            <w:vAlign w:val="bottom"/>
          </w:tcPr>
          <w:p w14:paraId="2001C650"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136</w:t>
            </w:r>
          </w:p>
        </w:tc>
      </w:tr>
      <w:tr w:rsidR="00433FED" w:rsidRPr="00AE35C2" w14:paraId="37EA9355" w14:textId="77777777" w:rsidTr="007816B5">
        <w:trPr>
          <w:jc w:val="center"/>
        </w:trPr>
        <w:tc>
          <w:tcPr>
            <w:tcW w:w="2028" w:type="dxa"/>
            <w:shd w:val="clear" w:color="auto" w:fill="auto"/>
          </w:tcPr>
          <w:p w14:paraId="4C832F7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rPr>
                <w:sz w:val="22"/>
                <w:szCs w:val="22"/>
              </w:rPr>
            </w:pPr>
            <w:r w:rsidRPr="00AE35C2">
              <w:rPr>
                <w:sz w:val="22"/>
                <w:szCs w:val="22"/>
              </w:rPr>
              <w:t xml:space="preserve">Ενεργειακή </w:t>
            </w:r>
            <w:proofErr w:type="spellStart"/>
            <w:r w:rsidRPr="00AE35C2">
              <w:rPr>
                <w:sz w:val="22"/>
                <w:szCs w:val="22"/>
              </w:rPr>
              <w:t>Θίσβης</w:t>
            </w:r>
            <w:proofErr w:type="spellEnd"/>
          </w:p>
        </w:tc>
        <w:tc>
          <w:tcPr>
            <w:tcW w:w="1588" w:type="dxa"/>
            <w:shd w:val="clear" w:color="auto" w:fill="auto"/>
          </w:tcPr>
          <w:p w14:paraId="5FC1A374"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288,42</w:t>
            </w:r>
          </w:p>
        </w:tc>
        <w:tc>
          <w:tcPr>
            <w:tcW w:w="1381" w:type="dxa"/>
            <w:shd w:val="clear" w:color="auto" w:fill="auto"/>
            <w:vAlign w:val="center"/>
          </w:tcPr>
          <w:p w14:paraId="22A87933"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1.087</w:t>
            </w:r>
          </w:p>
        </w:tc>
        <w:tc>
          <w:tcPr>
            <w:tcW w:w="1570" w:type="dxa"/>
            <w:shd w:val="clear" w:color="auto" w:fill="auto"/>
            <w:vAlign w:val="center"/>
          </w:tcPr>
          <w:p w14:paraId="343E6E1F"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1.087 x 5</w:t>
            </w:r>
          </w:p>
        </w:tc>
        <w:tc>
          <w:tcPr>
            <w:tcW w:w="1992" w:type="dxa"/>
            <w:tcBorders>
              <w:top w:val="nil"/>
              <w:left w:val="single" w:sz="4" w:space="0" w:color="auto"/>
              <w:bottom w:val="single" w:sz="4" w:space="0" w:color="auto"/>
              <w:right w:val="single" w:sz="4" w:space="0" w:color="auto"/>
            </w:tcBorders>
            <w:shd w:val="clear" w:color="auto" w:fill="auto"/>
            <w:vAlign w:val="bottom"/>
          </w:tcPr>
          <w:p w14:paraId="5A1377DF"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587</w:t>
            </w:r>
          </w:p>
        </w:tc>
      </w:tr>
      <w:tr w:rsidR="00433FED" w:rsidRPr="00AE35C2" w14:paraId="526244FD" w14:textId="77777777" w:rsidTr="007816B5">
        <w:trPr>
          <w:jc w:val="center"/>
        </w:trPr>
        <w:tc>
          <w:tcPr>
            <w:tcW w:w="2028" w:type="dxa"/>
            <w:shd w:val="clear" w:color="auto" w:fill="auto"/>
          </w:tcPr>
          <w:p w14:paraId="3D22FE3E"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rPr>
                <w:sz w:val="22"/>
                <w:szCs w:val="22"/>
              </w:rPr>
            </w:pPr>
            <w:r w:rsidRPr="00AE35C2">
              <w:rPr>
                <w:sz w:val="22"/>
                <w:szCs w:val="22"/>
              </w:rPr>
              <w:t>Ήρων Θερμοηλεκτρική</w:t>
            </w:r>
          </w:p>
        </w:tc>
        <w:tc>
          <w:tcPr>
            <w:tcW w:w="1588" w:type="dxa"/>
            <w:shd w:val="clear" w:color="auto" w:fill="auto"/>
          </w:tcPr>
          <w:p w14:paraId="02806C9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137,67</w:t>
            </w:r>
          </w:p>
        </w:tc>
        <w:tc>
          <w:tcPr>
            <w:tcW w:w="1381" w:type="dxa"/>
            <w:shd w:val="clear" w:color="auto" w:fill="auto"/>
            <w:vAlign w:val="center"/>
          </w:tcPr>
          <w:p w14:paraId="13D37F95"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521</w:t>
            </w:r>
          </w:p>
        </w:tc>
        <w:tc>
          <w:tcPr>
            <w:tcW w:w="1570" w:type="dxa"/>
            <w:shd w:val="clear" w:color="auto" w:fill="auto"/>
            <w:vAlign w:val="center"/>
          </w:tcPr>
          <w:p w14:paraId="33D2219E"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lang w:val="en-US"/>
              </w:rPr>
              <w:t>5</w:t>
            </w:r>
            <w:r w:rsidRPr="00AE35C2">
              <w:rPr>
                <w:sz w:val="22"/>
                <w:szCs w:val="22"/>
              </w:rPr>
              <w:t>21</w:t>
            </w:r>
            <w:r w:rsidRPr="00AE35C2">
              <w:rPr>
                <w:sz w:val="22"/>
                <w:szCs w:val="22"/>
                <w:lang w:val="en-US"/>
              </w:rPr>
              <w:t xml:space="preserve"> </w:t>
            </w:r>
            <w:r w:rsidRPr="00AE35C2">
              <w:rPr>
                <w:sz w:val="22"/>
                <w:szCs w:val="22"/>
              </w:rPr>
              <w:t>x 1</w:t>
            </w:r>
          </w:p>
        </w:tc>
        <w:tc>
          <w:tcPr>
            <w:tcW w:w="1992" w:type="dxa"/>
            <w:tcBorders>
              <w:top w:val="nil"/>
              <w:left w:val="single" w:sz="4" w:space="0" w:color="auto"/>
              <w:bottom w:val="single" w:sz="4" w:space="0" w:color="auto"/>
              <w:right w:val="single" w:sz="4" w:space="0" w:color="auto"/>
            </w:tcBorders>
            <w:shd w:val="clear" w:color="auto" w:fill="auto"/>
            <w:vAlign w:val="bottom"/>
          </w:tcPr>
          <w:p w14:paraId="1F607481"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lang w:val="en-US"/>
              </w:rPr>
            </w:pPr>
            <w:r w:rsidRPr="00AE35C2">
              <w:rPr>
                <w:sz w:val="22"/>
                <w:szCs w:val="22"/>
                <w:lang w:val="en-US"/>
              </w:rPr>
              <w:t>56</w:t>
            </w:r>
          </w:p>
        </w:tc>
      </w:tr>
      <w:tr w:rsidR="00433FED" w:rsidRPr="00AE35C2" w14:paraId="0859D482" w14:textId="77777777" w:rsidTr="007816B5">
        <w:trPr>
          <w:jc w:val="center"/>
        </w:trPr>
        <w:tc>
          <w:tcPr>
            <w:tcW w:w="2028" w:type="dxa"/>
            <w:shd w:val="clear" w:color="auto" w:fill="auto"/>
          </w:tcPr>
          <w:p w14:paraId="1EFD8CBB"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Σύνολο</w:t>
            </w:r>
          </w:p>
        </w:tc>
        <w:tc>
          <w:tcPr>
            <w:tcW w:w="1588" w:type="dxa"/>
            <w:shd w:val="clear" w:color="auto" w:fill="auto"/>
          </w:tcPr>
          <w:p w14:paraId="000CAE37"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1</w:t>
            </w:r>
            <w:r w:rsidRPr="00AE35C2">
              <w:rPr>
                <w:b/>
                <w:sz w:val="22"/>
                <w:szCs w:val="22"/>
                <w:lang w:val="en-US"/>
              </w:rPr>
              <w:t>.</w:t>
            </w:r>
            <w:r w:rsidRPr="00AE35C2">
              <w:rPr>
                <w:b/>
                <w:sz w:val="22"/>
                <w:szCs w:val="22"/>
              </w:rPr>
              <w:t>794,62</w:t>
            </w:r>
          </w:p>
        </w:tc>
        <w:tc>
          <w:tcPr>
            <w:tcW w:w="1381" w:type="dxa"/>
            <w:shd w:val="clear" w:color="auto" w:fill="auto"/>
            <w:vAlign w:val="bottom"/>
          </w:tcPr>
          <w:p w14:paraId="01842403"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6.304</w:t>
            </w:r>
          </w:p>
        </w:tc>
        <w:tc>
          <w:tcPr>
            <w:tcW w:w="1570" w:type="dxa"/>
            <w:shd w:val="clear" w:color="auto" w:fill="auto"/>
            <w:vAlign w:val="bottom"/>
          </w:tcPr>
          <w:p w14:paraId="45664B20"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lang w:val="en-US"/>
              </w:rPr>
              <w:t>2</w:t>
            </w:r>
            <w:r w:rsidRPr="00AE35C2">
              <w:rPr>
                <w:b/>
                <w:sz w:val="22"/>
                <w:szCs w:val="22"/>
              </w:rPr>
              <w:t>4</w:t>
            </w:r>
            <w:r w:rsidRPr="00AE35C2">
              <w:rPr>
                <w:b/>
                <w:sz w:val="22"/>
                <w:szCs w:val="22"/>
                <w:lang w:val="en-US"/>
              </w:rPr>
              <w:t>.</w:t>
            </w:r>
            <w:r w:rsidRPr="00AE35C2">
              <w:rPr>
                <w:b/>
                <w:sz w:val="22"/>
                <w:szCs w:val="22"/>
              </w:rPr>
              <w:t>399</w:t>
            </w:r>
          </w:p>
        </w:tc>
        <w:tc>
          <w:tcPr>
            <w:tcW w:w="1992" w:type="dxa"/>
            <w:shd w:val="clear" w:color="auto" w:fill="auto"/>
          </w:tcPr>
          <w:p w14:paraId="005CEF6D" w14:textId="77777777" w:rsidR="00433FED" w:rsidRPr="00AE35C2" w:rsidRDefault="00433FED"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2.635</w:t>
            </w:r>
          </w:p>
        </w:tc>
      </w:tr>
    </w:tbl>
    <w:p w14:paraId="4B41A636" w14:textId="77777777" w:rsidR="00433FED" w:rsidRPr="00AE35C2" w:rsidRDefault="00433FED" w:rsidP="00570B99">
      <w:pPr>
        <w:pStyle w:val="a7"/>
        <w:numPr>
          <w:ilvl w:val="0"/>
          <w:numId w:val="4"/>
        </w:numPr>
        <w:tabs>
          <w:tab w:val="left" w:pos="720"/>
        </w:tabs>
        <w:suppressAutoHyphens/>
        <w:spacing w:before="120" w:after="120" w:line="276" w:lineRule="auto"/>
        <w:contextualSpacing w:val="0"/>
        <w:jc w:val="both"/>
        <w:rPr>
          <w:spacing w:val="-5"/>
          <w:lang w:eastAsia="ar-SA"/>
        </w:rPr>
      </w:pPr>
      <w:r w:rsidRPr="00AE35C2">
        <w:rPr>
          <w:spacing w:val="-5"/>
          <w:lang w:eastAsia="ar-SA"/>
        </w:rPr>
        <w:t xml:space="preserve">Με βάση την ως άνω ανάλυση και τις παραδοχές στις οποίες βασίστηκε, το ετήσιο αντάλλαγμα που δύναται να καταβάλλεται από το Διαχειριστή στις υφιστάμενες μονάδες παραγωγής ηλεκτρικής ενέργειας στην ελληνική επικράτεια με δυνατότητα λειτουργίας με εναλλακτικό καύσιμο </w:t>
      </w:r>
      <w:r w:rsidRPr="00AE35C2">
        <w:rPr>
          <w:spacing w:val="-5"/>
          <w:u w:val="single"/>
          <w:lang w:eastAsia="ar-SA"/>
        </w:rPr>
        <w:t xml:space="preserve">για την κάλυψη του κεφαλαιουχικού κόστους τήρησης των αποθεμάτων καυσίμου προϋπολογίζεται σε </w:t>
      </w:r>
      <w:r w:rsidRPr="00AE35C2">
        <w:rPr>
          <w:b/>
          <w:bCs/>
          <w:spacing w:val="-5"/>
          <w:u w:val="single"/>
          <w:lang w:eastAsia="ar-SA"/>
        </w:rPr>
        <w:t>2,64 εκ. €</w:t>
      </w:r>
      <w:r w:rsidRPr="00AE35C2">
        <w:rPr>
          <w:spacing w:val="-5"/>
          <w:u w:val="single"/>
          <w:lang w:eastAsia="ar-SA"/>
        </w:rPr>
        <w:t>.</w:t>
      </w:r>
      <w:r w:rsidRPr="00AE35C2">
        <w:rPr>
          <w:spacing w:val="-5"/>
          <w:lang w:eastAsia="ar-SA"/>
        </w:rPr>
        <w:t xml:space="preserve"> </w:t>
      </w:r>
    </w:p>
    <w:p w14:paraId="309246CD" w14:textId="77777777" w:rsidR="00433FED" w:rsidRPr="00AE35C2" w:rsidRDefault="00433FED" w:rsidP="00570B99">
      <w:pPr>
        <w:pStyle w:val="a7"/>
        <w:numPr>
          <w:ilvl w:val="0"/>
          <w:numId w:val="4"/>
        </w:numPr>
        <w:tabs>
          <w:tab w:val="left" w:pos="720"/>
        </w:tabs>
        <w:suppressAutoHyphens/>
        <w:spacing w:before="120" w:after="120" w:line="276" w:lineRule="auto"/>
        <w:contextualSpacing w:val="0"/>
        <w:jc w:val="both"/>
        <w:rPr>
          <w:spacing w:val="-5"/>
          <w:lang w:eastAsia="ar-SA"/>
        </w:rPr>
      </w:pPr>
      <w:bookmarkStart w:id="4" w:name="_Hlk115338565"/>
      <w:r w:rsidRPr="00AE35C2">
        <w:rPr>
          <w:spacing w:val="-5"/>
          <w:lang w:eastAsia="ar-SA"/>
        </w:rPr>
        <w:t>Σε ότι αφορά στον</w:t>
      </w:r>
      <w:r w:rsidRPr="00AE35C2">
        <w:rPr>
          <w:b/>
          <w:spacing w:val="-5"/>
          <w:lang w:eastAsia="ar-SA"/>
        </w:rPr>
        <w:t xml:space="preserve"> υπολογισμό του πρόσθετου κόστους καυσίμου για δοκιμές</w:t>
      </w:r>
      <w:r w:rsidRPr="00AE35C2">
        <w:rPr>
          <w:spacing w:val="-5"/>
          <w:lang w:eastAsia="ar-SA"/>
        </w:rPr>
        <w:t xml:space="preserve"> εκτιμώνται τα ακόλουθα: α) Το πρόσθετο κόστος καυσίμου για δοκιμές υπολογίζεται για συχνότητα μίας (1) δοκιμής ανά τρίμηνο. β) Η ποσότητα του καυσίμου προϋπολογίζεται, θεωρώντας δοκιμαστική λειτουργία της μονάδας με υγρό καύσιμο για </w:t>
      </w:r>
      <w:r w:rsidRPr="00AE35C2">
        <w:rPr>
          <w:spacing w:val="-5"/>
          <w:lang w:eastAsia="ar-SA"/>
        </w:rPr>
        <w:lastRenderedPageBreak/>
        <w:t>χρονική περίοδο μιας (1) ώρας και με λειτουργία της μονάδας στο ελάχιστο επίπεδο φόρτισης που επιτρέπει την διενέργεια όλων των απαιτούμενων ελέγχων. γ) Για τιμή προμήθειας καυσίμου προ ΦΠΑ που ανέρχεται σε χίλια</w:t>
      </w:r>
      <w:r w:rsidRPr="00AE35C2">
        <w:rPr>
          <w:spacing w:val="-5"/>
          <w:sz w:val="22"/>
          <w:szCs w:val="22"/>
          <w:lang w:eastAsia="ar-SA"/>
        </w:rPr>
        <w:t xml:space="preserve"> </w:t>
      </w:r>
      <w:r w:rsidRPr="00AE35C2">
        <w:rPr>
          <w:spacing w:val="-5"/>
          <w:lang w:eastAsia="ar-SA"/>
        </w:rPr>
        <w:t>τετρακόσια σαράντα (1440) €/</w:t>
      </w:r>
      <w:proofErr w:type="spellStart"/>
      <w:r w:rsidRPr="00AE35C2">
        <w:rPr>
          <w:spacing w:val="-5"/>
          <w:lang w:val="en-US" w:eastAsia="ar-SA"/>
        </w:rPr>
        <w:t>klt</w:t>
      </w:r>
      <w:proofErr w:type="spellEnd"/>
      <w:r w:rsidRPr="00AE35C2">
        <w:rPr>
          <w:spacing w:val="-5"/>
          <w:lang w:eastAsia="ar-SA"/>
        </w:rPr>
        <w:t xml:space="preserve">, </w:t>
      </w:r>
      <w:r w:rsidRPr="00AE35C2">
        <w:rPr>
          <w:spacing w:val="-5"/>
          <w:u w:val="single"/>
          <w:lang w:eastAsia="ar-SA"/>
        </w:rPr>
        <w:t xml:space="preserve">το ύψος του ανταλλάγματος που επαρκεί για την κάλυψη του πρόσθετου κόστους καυσίμου λόγω δοκιμών ανά τρίμηνο των πέντε σταθμών εκτιμάται ότι ανέρχεται στο ύψος του </w:t>
      </w:r>
      <w:r w:rsidRPr="00AE35C2">
        <w:rPr>
          <w:b/>
          <w:bCs/>
          <w:spacing w:val="-5"/>
          <w:u w:val="single"/>
          <w:lang w:eastAsia="ar-SA"/>
        </w:rPr>
        <w:t>0,98 εκ. €</w:t>
      </w:r>
      <w:r w:rsidRPr="00AE35C2">
        <w:rPr>
          <w:spacing w:val="-5"/>
          <w:u w:val="single"/>
          <w:lang w:eastAsia="ar-SA"/>
        </w:rPr>
        <w:t xml:space="preserve"> ετησίως.</w:t>
      </w:r>
    </w:p>
    <w:bookmarkEnd w:id="4"/>
    <w:p w14:paraId="3E2E51D4" w14:textId="644C68A4" w:rsidR="00570B99" w:rsidRPr="00AE35C2" w:rsidRDefault="00E524AB" w:rsidP="00570B99">
      <w:pPr>
        <w:pStyle w:val="a7"/>
        <w:numPr>
          <w:ilvl w:val="0"/>
          <w:numId w:val="4"/>
        </w:numPr>
        <w:tabs>
          <w:tab w:val="left" w:pos="720"/>
        </w:tabs>
        <w:suppressAutoHyphens/>
        <w:spacing w:before="120" w:after="120" w:line="276" w:lineRule="auto"/>
        <w:ind w:left="357" w:hanging="357"/>
        <w:contextualSpacing w:val="0"/>
        <w:jc w:val="both"/>
        <w:rPr>
          <w:spacing w:val="-5"/>
          <w:lang w:eastAsia="ar-SA"/>
        </w:rPr>
      </w:pPr>
      <w:r w:rsidRPr="00AE35C2">
        <w:rPr>
          <w:bCs/>
          <w:iCs/>
          <w:spacing w:val="-5"/>
          <w:lang w:eastAsia="ar-SA"/>
        </w:rPr>
        <w:t>Μ</w:t>
      </w:r>
      <w:r w:rsidR="00433FED" w:rsidRPr="00AE35C2">
        <w:rPr>
          <w:bCs/>
          <w:iCs/>
          <w:spacing w:val="-5"/>
          <w:lang w:eastAsia="ar-SA"/>
        </w:rPr>
        <w:t>ε βάση την ως άνω ανάλυση,</w:t>
      </w:r>
      <w:r w:rsidR="00433FED" w:rsidRPr="00AE35C2">
        <w:rPr>
          <w:spacing w:val="-5"/>
          <w:lang w:eastAsia="ar-SA"/>
        </w:rPr>
        <w:t xml:space="preserve"> αθροίζοντας δηλαδή τα στοιχεία κόστους που περιγράφονται ανωτέρω, το ύψος του συνολικού ανταλλάγματος που δύναται να καταβάλει ο Διαχειριστής του ΕΣΦΑ στις υφιστάμενες μονάδες παραγωγής ηλεκτρικής ενέργειας με καύσιμο ΦΑ, οι οποίες έχουν την υποχρέωση τήρησης εναλλακτικού καυσίμου </w:t>
      </w:r>
      <w:r w:rsidR="00433FED" w:rsidRPr="00AE35C2">
        <w:rPr>
          <w:spacing w:val="-5"/>
          <w:u w:val="single"/>
          <w:lang w:eastAsia="ar-SA"/>
        </w:rPr>
        <w:t xml:space="preserve">προϋπολογίζεται σε </w:t>
      </w:r>
      <w:r w:rsidR="00433FED" w:rsidRPr="00AE35C2">
        <w:rPr>
          <w:b/>
          <w:bCs/>
          <w:spacing w:val="-5"/>
          <w:u w:val="single"/>
          <w:lang w:eastAsia="ar-SA"/>
        </w:rPr>
        <w:t>5,94 εκ. €</w:t>
      </w:r>
      <w:r w:rsidR="00433FED" w:rsidRPr="00AE35C2">
        <w:rPr>
          <w:spacing w:val="-5"/>
          <w:u w:val="single"/>
          <w:lang w:eastAsia="ar-SA"/>
        </w:rPr>
        <w:t xml:space="preserve"> ετησίως</w:t>
      </w:r>
      <w:r w:rsidR="00433FED" w:rsidRPr="00AE35C2">
        <w:rPr>
          <w:spacing w:val="-5"/>
          <w:lang w:eastAsia="ar-SA"/>
        </w:rPr>
        <w:t xml:space="preserve">. </w:t>
      </w:r>
    </w:p>
    <w:p w14:paraId="174194D6" w14:textId="4C2579B7" w:rsidR="00E524AB" w:rsidRPr="00AE35C2" w:rsidRDefault="00570B99" w:rsidP="00570B99">
      <w:pPr>
        <w:keepNext/>
        <w:keepLines/>
        <w:tabs>
          <w:tab w:val="left" w:pos="720"/>
        </w:tabs>
        <w:suppressAutoHyphens/>
        <w:spacing w:before="240" w:after="240" w:line="276" w:lineRule="auto"/>
        <w:jc w:val="both"/>
        <w:rPr>
          <w:rFonts w:ascii="Calibri" w:hAnsi="Calibri" w:cs="Calibri"/>
          <w:b/>
          <w:bCs/>
          <w:color w:val="808080"/>
          <w:spacing w:val="-5"/>
          <w:kern w:val="28"/>
          <w:sz w:val="28"/>
          <w:szCs w:val="28"/>
          <w:lang w:eastAsia="en-US"/>
        </w:rPr>
      </w:pPr>
      <w:r w:rsidRPr="00AE35C2">
        <w:rPr>
          <w:rFonts w:ascii="Calibri" w:hAnsi="Calibri" w:cs="Calibri"/>
          <w:b/>
          <w:bCs/>
          <w:color w:val="808080"/>
          <w:spacing w:val="-5"/>
          <w:kern w:val="28"/>
          <w:sz w:val="28"/>
          <w:szCs w:val="28"/>
          <w:lang w:eastAsia="en-US"/>
        </w:rPr>
        <w:t xml:space="preserve">Β. </w:t>
      </w:r>
      <w:r w:rsidR="00E524AB" w:rsidRPr="00AE35C2">
        <w:rPr>
          <w:rFonts w:ascii="Calibri" w:hAnsi="Calibri" w:cs="Calibri"/>
          <w:b/>
          <w:bCs/>
          <w:color w:val="808080"/>
          <w:spacing w:val="-5"/>
          <w:kern w:val="28"/>
          <w:sz w:val="28"/>
          <w:szCs w:val="28"/>
          <w:lang w:eastAsia="en-US"/>
        </w:rPr>
        <w:t>Ως προς την εκτίμηση του επί μέρους κόστους των συμβάσεων που συνάπτονται σύμφωνα με την παράγραφο 5 του άρθρου 73 του ν. 4001/2011 (υφιστάμενο μέτρο: Διακοπτόμενοι καταναλωτές)</w:t>
      </w:r>
    </w:p>
    <w:p w14:paraId="49F78240" w14:textId="77777777" w:rsidR="00E524AB" w:rsidRPr="00AE35C2" w:rsidRDefault="00E524AB" w:rsidP="00570B99">
      <w:pPr>
        <w:pStyle w:val="aa"/>
        <w:widowControl w:val="0"/>
        <w:numPr>
          <w:ilvl w:val="0"/>
          <w:numId w:val="4"/>
        </w:numPr>
        <w:spacing w:line="276" w:lineRule="auto"/>
        <w:rPr>
          <w:color w:val="FF0000"/>
          <w:sz w:val="24"/>
          <w:szCs w:val="24"/>
        </w:rPr>
      </w:pPr>
      <w:r w:rsidRPr="00AE35C2">
        <w:rPr>
          <w:sz w:val="24"/>
          <w:szCs w:val="24"/>
        </w:rPr>
        <w:t>Ο όρος «Διακοπτόμενος Καταναλωτής» εισάγεται στην Πρότυπη Σύμβαση «για Χρηματοδότηση Μηχανισμού Διαχείρισης της Ζήτησης Φυσικού Αερίου» που εγκρίθηκε δυνάμει της Απόφασης ΡΑΕ υπ’ αριθ. 628/2016. Σύμφωνα με τον σχετικό ορισμό, Διακοπτόμενος Καταναλωτής είναι ο Μεγάλος Πελάτης, ο οποίος έχει συνάψει σύμβαση με Προμηθευτή για την έναντι ανταλλάγματος διαχείριση της ζήτησης φυσικού αερίου σε περιπτώσεις κρίσεων στο ΕΣΦΑ. Στην κατηγορία των Διακοπτόμενων Καταναλωτών δεν εμπίπτουν οι «</w:t>
      </w:r>
      <w:proofErr w:type="spellStart"/>
      <w:r w:rsidRPr="00AE35C2">
        <w:rPr>
          <w:sz w:val="24"/>
          <w:szCs w:val="24"/>
        </w:rPr>
        <w:t>Διακόψιμοι</w:t>
      </w:r>
      <w:proofErr w:type="spellEnd"/>
      <w:r w:rsidRPr="00AE35C2">
        <w:rPr>
          <w:sz w:val="24"/>
          <w:szCs w:val="24"/>
        </w:rPr>
        <w:t xml:space="preserve"> Καταναλωτές», όπως αυτοί ορίζονται στο κείμενο νομοθετικό και κανονιστικό πλαίσιο.</w:t>
      </w:r>
      <w:r w:rsidRPr="00AE35C2">
        <w:rPr>
          <w:color w:val="FF0000"/>
          <w:sz w:val="24"/>
          <w:szCs w:val="24"/>
        </w:rPr>
        <w:t xml:space="preserve"> </w:t>
      </w:r>
    </w:p>
    <w:p w14:paraId="374CA70B" w14:textId="77777777" w:rsidR="00E524AB" w:rsidRPr="00AE35C2" w:rsidRDefault="00E524AB" w:rsidP="00570B99">
      <w:pPr>
        <w:pStyle w:val="BodyTextNumbers"/>
        <w:numPr>
          <w:ilvl w:val="0"/>
          <w:numId w:val="4"/>
        </w:numPr>
        <w:spacing w:line="276" w:lineRule="auto"/>
        <w:rPr>
          <w:color w:val="FF0000"/>
          <w:sz w:val="24"/>
          <w:szCs w:val="24"/>
        </w:rPr>
      </w:pPr>
      <w:r w:rsidRPr="00AE35C2">
        <w:rPr>
          <w:sz w:val="24"/>
          <w:szCs w:val="24"/>
        </w:rPr>
        <w:t>Οι ανάγκες χρηματοδότησης του μηχανισμού διαχείρισης ζήτησης που θεσπίζεται σύμφωνα με τα οριζόμενα στην παράγραφο 5 του άρθρου 73 του ν. 4001/2011 υπολογίζονται ως το γινόμενο της ανώτατης μοναδιαίας αποζημίωσης (€/</w:t>
      </w:r>
      <w:proofErr w:type="spellStart"/>
      <w:r w:rsidRPr="00AE35C2">
        <w:rPr>
          <w:sz w:val="24"/>
          <w:szCs w:val="24"/>
        </w:rPr>
        <w:t>MWh</w:t>
      </w:r>
      <w:proofErr w:type="spellEnd"/>
      <w:r w:rsidRPr="00AE35C2">
        <w:rPr>
          <w:sz w:val="24"/>
          <w:szCs w:val="24"/>
        </w:rPr>
        <w:t>) που δύναται να καταβληθεί σε Προμηθευτές και της μέγιστης ποσότητας μη παραληφθέντος ΦΑ (</w:t>
      </w:r>
      <w:proofErr w:type="spellStart"/>
      <w:r w:rsidRPr="00AE35C2">
        <w:rPr>
          <w:sz w:val="24"/>
          <w:szCs w:val="24"/>
        </w:rPr>
        <w:t>MWh</w:t>
      </w:r>
      <w:proofErr w:type="spellEnd"/>
      <w:r w:rsidRPr="00AE35C2">
        <w:rPr>
          <w:sz w:val="24"/>
          <w:szCs w:val="24"/>
        </w:rPr>
        <w:t>) για την οποία δύναται να καταβληθεί αποζημίωση.</w:t>
      </w:r>
    </w:p>
    <w:p w14:paraId="12B12A04" w14:textId="77777777" w:rsidR="00E524AB" w:rsidRPr="00AE35C2" w:rsidRDefault="00E524AB" w:rsidP="00570B99">
      <w:pPr>
        <w:pStyle w:val="BodyTextNumbers"/>
        <w:numPr>
          <w:ilvl w:val="0"/>
          <w:numId w:val="4"/>
        </w:numPr>
        <w:spacing w:line="276" w:lineRule="auto"/>
        <w:rPr>
          <w:color w:val="FF0000"/>
          <w:sz w:val="24"/>
          <w:szCs w:val="24"/>
        </w:rPr>
      </w:pPr>
      <w:r w:rsidRPr="00AE35C2">
        <w:rPr>
          <w:sz w:val="24"/>
          <w:szCs w:val="24"/>
        </w:rPr>
        <w:t xml:space="preserve">Σύμφωνα με το εγκεκριμένο Σχέδιο Προληπτικής Δράσης καθορίζεται ανώτατη </w:t>
      </w:r>
      <w:proofErr w:type="spellStart"/>
      <w:r w:rsidRPr="00AE35C2">
        <w:rPr>
          <w:sz w:val="24"/>
          <w:szCs w:val="24"/>
        </w:rPr>
        <w:t>μοναδιαία</w:t>
      </w:r>
      <w:proofErr w:type="spellEnd"/>
      <w:r w:rsidRPr="00AE35C2">
        <w:rPr>
          <w:sz w:val="24"/>
          <w:szCs w:val="24"/>
        </w:rPr>
        <w:t xml:space="preserve"> αποζημίωση σε € ανά </w:t>
      </w:r>
      <w:proofErr w:type="spellStart"/>
      <w:r w:rsidRPr="00AE35C2">
        <w:rPr>
          <w:sz w:val="24"/>
          <w:szCs w:val="24"/>
        </w:rPr>
        <w:t>MWh</w:t>
      </w:r>
      <w:proofErr w:type="spellEnd"/>
      <w:r w:rsidRPr="00AE35C2">
        <w:rPr>
          <w:sz w:val="24"/>
          <w:szCs w:val="24"/>
        </w:rPr>
        <w:t xml:space="preserve"> ΦΑ, ίση με</w:t>
      </w:r>
      <w:r w:rsidRPr="00AE35C2">
        <w:rPr>
          <w:color w:val="FF0000"/>
          <w:sz w:val="24"/>
          <w:szCs w:val="24"/>
        </w:rPr>
        <w:t xml:space="preserve"> </w:t>
      </w:r>
      <w:r w:rsidRPr="00AE35C2">
        <w:rPr>
          <w:sz w:val="24"/>
          <w:szCs w:val="24"/>
        </w:rPr>
        <w:t>16 €/</w:t>
      </w:r>
      <w:proofErr w:type="spellStart"/>
      <w:r w:rsidRPr="00AE35C2">
        <w:rPr>
          <w:sz w:val="24"/>
          <w:szCs w:val="24"/>
        </w:rPr>
        <w:t>MWh</w:t>
      </w:r>
      <w:proofErr w:type="spellEnd"/>
      <w:r w:rsidRPr="00AE35C2">
        <w:rPr>
          <w:sz w:val="24"/>
          <w:szCs w:val="24"/>
        </w:rPr>
        <w:t xml:space="preserve"> ΦΑ σε ΑΘΔ, για την ποσότητα ΦΑ που αποδεδειγμένα δεν παραλαμβάνεται από Μεγάλους Πελάτες, στο πλαίσιο διαχείρισης ζήτησης μετά από την κήρυξη κρίσης επιπέδου επιφυλακής.</w:t>
      </w:r>
    </w:p>
    <w:p w14:paraId="31A586D6" w14:textId="77777777" w:rsidR="00E524AB" w:rsidRPr="00AE35C2" w:rsidRDefault="00E524AB" w:rsidP="00570B99">
      <w:pPr>
        <w:pStyle w:val="BodyTextNumbers"/>
        <w:numPr>
          <w:ilvl w:val="0"/>
          <w:numId w:val="4"/>
        </w:numPr>
        <w:spacing w:line="276" w:lineRule="auto"/>
        <w:rPr>
          <w:color w:val="FF0000"/>
          <w:sz w:val="24"/>
          <w:szCs w:val="24"/>
        </w:rPr>
      </w:pPr>
      <w:r w:rsidRPr="00AE35C2">
        <w:rPr>
          <w:sz w:val="24"/>
          <w:szCs w:val="24"/>
        </w:rPr>
        <w:t>Η μέγιστη ποσότητα μη παραληφθέντος φυσικού αερίου για την οποία δύναται να καταβληθεί αποζημίωση</w:t>
      </w:r>
      <w:r w:rsidRPr="00AE35C2" w:rsidDel="00A26D38">
        <w:rPr>
          <w:sz w:val="24"/>
          <w:szCs w:val="24"/>
        </w:rPr>
        <w:t xml:space="preserve"> </w:t>
      </w:r>
      <w:r w:rsidRPr="00AE35C2">
        <w:rPr>
          <w:sz w:val="24"/>
          <w:szCs w:val="24"/>
        </w:rPr>
        <w:t xml:space="preserve">σε ένα ημερολογιακό έτος προσδιορίζεται επί τη βάσει των αναλύσεων του Σχεδίου Προληπτικής Δράσης, μέσω του οποίου επιδιώκεται η δυνατότητα διαχείρισης ζήτησης Μεγάλων Πελατών στο επίπεδο του 20% της μέγιστης ημερήσιας ζήτησής τους για διάρκεια πέντε (5) ημερών που αντιστοιχεί, σύμφωνα με την ανάλυση επιπτώσεων της Μελέτης Επικινδυνότητας για τη Βιομηχανία σε επίπτωση κλάσης Β (οικονομική ζημία που αναπληρώνεται). Η μέγιστη ημερήσια αναμενόμενη εξοικονόμηση εκτιμάται περίπου 9.000 </w:t>
      </w:r>
      <w:proofErr w:type="spellStart"/>
      <w:r w:rsidRPr="00AE35C2">
        <w:rPr>
          <w:sz w:val="24"/>
          <w:szCs w:val="24"/>
        </w:rPr>
        <w:t>MWh</w:t>
      </w:r>
      <w:proofErr w:type="spellEnd"/>
      <w:r w:rsidRPr="00AE35C2">
        <w:rPr>
          <w:sz w:val="24"/>
          <w:szCs w:val="24"/>
        </w:rPr>
        <w:t xml:space="preserve">/d (45.000 </w:t>
      </w:r>
      <w:proofErr w:type="spellStart"/>
      <w:r w:rsidRPr="00AE35C2">
        <w:rPr>
          <w:sz w:val="24"/>
          <w:szCs w:val="24"/>
        </w:rPr>
        <w:t>MWh</w:t>
      </w:r>
      <w:proofErr w:type="spellEnd"/>
      <w:r w:rsidRPr="00AE35C2">
        <w:rPr>
          <w:sz w:val="24"/>
          <w:szCs w:val="24"/>
        </w:rPr>
        <w:t>/y).</w:t>
      </w:r>
    </w:p>
    <w:p w14:paraId="3632A01A" w14:textId="77777777" w:rsidR="00E524AB" w:rsidRPr="00AE35C2" w:rsidRDefault="00E524AB" w:rsidP="00570B99">
      <w:pPr>
        <w:pStyle w:val="BodyTextNumbers"/>
        <w:numPr>
          <w:ilvl w:val="0"/>
          <w:numId w:val="4"/>
        </w:numPr>
        <w:spacing w:line="276" w:lineRule="auto"/>
        <w:rPr>
          <w:color w:val="FF0000"/>
          <w:sz w:val="24"/>
          <w:szCs w:val="24"/>
        </w:rPr>
      </w:pPr>
      <w:r w:rsidRPr="00AE35C2">
        <w:rPr>
          <w:sz w:val="24"/>
          <w:szCs w:val="24"/>
        </w:rPr>
        <w:lastRenderedPageBreak/>
        <w:t xml:space="preserve">Σύμφωνα με τα ανωτέρω, </w:t>
      </w:r>
      <w:r w:rsidRPr="00AE35C2">
        <w:rPr>
          <w:sz w:val="24"/>
          <w:szCs w:val="24"/>
          <w:u w:val="single"/>
        </w:rPr>
        <w:t xml:space="preserve">το άνω όριο ετήσιας αποζημίωσης προς Προμηθευτές για την κάλυψη του κόστους του μηχανισμού διαχείρισης ζήτησης φυσικού αερίου </w:t>
      </w:r>
      <w:proofErr w:type="spellStart"/>
      <w:r w:rsidRPr="00AE35C2">
        <w:rPr>
          <w:sz w:val="24"/>
          <w:szCs w:val="24"/>
          <w:u w:val="single"/>
        </w:rPr>
        <w:t>οριοθετείται</w:t>
      </w:r>
      <w:proofErr w:type="spellEnd"/>
      <w:r w:rsidRPr="00AE35C2">
        <w:rPr>
          <w:sz w:val="24"/>
          <w:szCs w:val="24"/>
          <w:u w:val="single"/>
        </w:rPr>
        <w:t xml:space="preserve"> στο ύψος των </w:t>
      </w:r>
      <w:r w:rsidRPr="00AE35C2">
        <w:rPr>
          <w:b/>
          <w:bCs/>
          <w:sz w:val="24"/>
          <w:szCs w:val="24"/>
          <w:u w:val="single"/>
        </w:rPr>
        <w:t>0,72 εκ. €</w:t>
      </w:r>
      <w:r w:rsidRPr="00AE35C2">
        <w:rPr>
          <w:sz w:val="24"/>
          <w:szCs w:val="24"/>
          <w:u w:val="single"/>
        </w:rPr>
        <w:t>.</w:t>
      </w:r>
      <w:r w:rsidRPr="00AE35C2">
        <w:rPr>
          <w:sz w:val="24"/>
          <w:szCs w:val="24"/>
        </w:rPr>
        <w:t xml:space="preserve"> </w:t>
      </w:r>
    </w:p>
    <w:p w14:paraId="380B205A" w14:textId="35434694" w:rsidR="00385DC8" w:rsidRPr="00AE35C2" w:rsidRDefault="00570B99" w:rsidP="00570B99">
      <w:pPr>
        <w:pStyle w:val="BodyTextNumbers"/>
        <w:tabs>
          <w:tab w:val="clear" w:pos="567"/>
        </w:tabs>
        <w:spacing w:line="276" w:lineRule="auto"/>
        <w:ind w:left="0" w:firstLine="0"/>
        <w:rPr>
          <w:sz w:val="24"/>
          <w:szCs w:val="24"/>
        </w:rPr>
      </w:pPr>
      <w:r w:rsidRPr="00AE35C2">
        <w:rPr>
          <w:rFonts w:ascii="Calibri" w:hAnsi="Calibri" w:cs="Calibri"/>
          <w:b/>
          <w:bCs/>
          <w:color w:val="808080"/>
          <w:kern w:val="28"/>
          <w:sz w:val="28"/>
          <w:szCs w:val="28"/>
          <w:lang w:eastAsia="en-US"/>
        </w:rPr>
        <w:t xml:space="preserve">Γ. </w:t>
      </w:r>
      <w:r w:rsidR="00385DC8" w:rsidRPr="00AE35C2">
        <w:rPr>
          <w:rFonts w:ascii="Calibri" w:hAnsi="Calibri" w:cs="Calibri"/>
          <w:b/>
          <w:bCs/>
          <w:color w:val="808080"/>
          <w:kern w:val="28"/>
          <w:sz w:val="28"/>
          <w:szCs w:val="28"/>
          <w:lang w:eastAsia="en-US"/>
        </w:rPr>
        <w:t>Ως προς την εκτίμηση της Δράσης Δ2 του Σχεδίου Προληπτικής Δράσης</w:t>
      </w:r>
      <w:r w:rsidR="00385DC8" w:rsidRPr="00AE35C2">
        <w:t xml:space="preserve"> </w:t>
      </w:r>
      <w:r w:rsidR="00385DC8" w:rsidRPr="00AE35C2">
        <w:rPr>
          <w:rFonts w:ascii="Calibri" w:hAnsi="Calibri" w:cs="Calibri"/>
          <w:b/>
          <w:bCs/>
          <w:color w:val="808080"/>
          <w:kern w:val="28"/>
          <w:sz w:val="28"/>
          <w:szCs w:val="28"/>
          <w:lang w:eastAsia="en-US"/>
        </w:rPr>
        <w:t>(μίσθωση πλωτής δεξαμενής ΥΦΑ)</w:t>
      </w:r>
    </w:p>
    <w:p w14:paraId="1DE4E527" w14:textId="77777777" w:rsidR="001A05F2" w:rsidRPr="00AE35C2" w:rsidRDefault="001A05F2" w:rsidP="00570B99">
      <w:pPr>
        <w:pStyle w:val="BodyTextNumbers"/>
        <w:numPr>
          <w:ilvl w:val="0"/>
          <w:numId w:val="4"/>
        </w:numPr>
        <w:spacing w:line="276" w:lineRule="auto"/>
        <w:rPr>
          <w:sz w:val="24"/>
          <w:szCs w:val="24"/>
        </w:rPr>
      </w:pPr>
      <w:r w:rsidRPr="00AE35C2">
        <w:rPr>
          <w:sz w:val="24"/>
          <w:szCs w:val="24"/>
        </w:rPr>
        <w:t xml:space="preserve">Για την κάλυψη των εκτάκτου χαρακτήρα αναγκών ασφάλειας εφοδιασμού της Χώρας με ΦΑ με το άρθρο 116 του ν. 4951/2022 προβλέφθηκε η 12μηνη μίσθωση πλοίου ΥΦΑ (πλωτή δεξαμενή της Εγκατάστασης ΥΦΑ στη νήσο </w:t>
      </w:r>
      <w:proofErr w:type="spellStart"/>
      <w:r w:rsidRPr="00AE35C2">
        <w:rPr>
          <w:sz w:val="24"/>
          <w:szCs w:val="24"/>
        </w:rPr>
        <w:t>Ρεβυθούσα</w:t>
      </w:r>
      <w:proofErr w:type="spellEnd"/>
      <w:r w:rsidRPr="00AE35C2">
        <w:rPr>
          <w:sz w:val="24"/>
          <w:szCs w:val="24"/>
        </w:rPr>
        <w:t xml:space="preserve">) από τον Διαχειριστή του Εθνικού Συστήματος Φυσικού Αερίου (ΔΕΣΦΑ), αρχής γενομένης από το μήνα Ιούλιο 2022, με δυνατότητα παράτασης για έξι (6) διαδοχικούς μήνες κατόπιν σχετικής Απόφασης της ΡΑΕ. </w:t>
      </w:r>
    </w:p>
    <w:p w14:paraId="7137D571" w14:textId="77777777" w:rsidR="001A05F2" w:rsidRPr="00AE35C2" w:rsidRDefault="00F9602C" w:rsidP="00570B99">
      <w:pPr>
        <w:pStyle w:val="BodyTextNumbers"/>
        <w:numPr>
          <w:ilvl w:val="0"/>
          <w:numId w:val="4"/>
        </w:numPr>
        <w:spacing w:line="276" w:lineRule="auto"/>
        <w:rPr>
          <w:sz w:val="24"/>
          <w:szCs w:val="24"/>
        </w:rPr>
      </w:pPr>
      <w:r w:rsidRPr="00AE35C2">
        <w:rPr>
          <w:sz w:val="24"/>
          <w:szCs w:val="24"/>
        </w:rPr>
        <w:t>Ο</w:t>
      </w:r>
      <w:r w:rsidR="001A05F2" w:rsidRPr="00AE35C2">
        <w:rPr>
          <w:sz w:val="24"/>
          <w:szCs w:val="24"/>
        </w:rPr>
        <w:t xml:space="preserve"> Διαχειριστής του Εθνικού Συστήματος Φυσικού Αερίου με την υπ’ αριθ. </w:t>
      </w:r>
      <w:proofErr w:type="spellStart"/>
      <w:r w:rsidR="001A05F2" w:rsidRPr="00AE35C2">
        <w:rPr>
          <w:sz w:val="24"/>
          <w:szCs w:val="24"/>
        </w:rPr>
        <w:t>πρωτ</w:t>
      </w:r>
      <w:proofErr w:type="spellEnd"/>
      <w:r w:rsidR="001A05F2" w:rsidRPr="00AE35C2">
        <w:rPr>
          <w:sz w:val="24"/>
          <w:szCs w:val="24"/>
        </w:rPr>
        <w:t>. ΡΑΕ Ι-324470/05.04.2022 απέστειλε στην Αρχή Μελέτη ως προς το εύλογο και ανταποδοτικό χαρακτήρα του κόστους μίσθωσης του πλοίου ΥΦΑ, την οποία η ΡΑΕ έθεσε σε δημόσια διαβούλευση</w:t>
      </w:r>
      <w:r w:rsidR="00AF4580" w:rsidRPr="00AE35C2">
        <w:rPr>
          <w:rStyle w:val="ad"/>
          <w:sz w:val="24"/>
          <w:szCs w:val="24"/>
        </w:rPr>
        <w:footnoteReference w:id="1"/>
      </w:r>
      <w:r w:rsidR="001A05F2" w:rsidRPr="00AE35C2">
        <w:rPr>
          <w:sz w:val="24"/>
          <w:szCs w:val="24"/>
        </w:rPr>
        <w:t>. Από τα σχόλια που υποβλήθηκαν στην εν λόγω διαβούλευση, δεν προέκυψαν σοβαρές αντιρρήσεις για την εν λόγω πρόταση του Διαχειριστή.</w:t>
      </w:r>
    </w:p>
    <w:p w14:paraId="06044CCF" w14:textId="77777777" w:rsidR="001A05F2" w:rsidRPr="00AE35C2" w:rsidRDefault="00F9602C" w:rsidP="00570B99">
      <w:pPr>
        <w:pStyle w:val="BodyTextNumbers"/>
        <w:numPr>
          <w:ilvl w:val="0"/>
          <w:numId w:val="4"/>
        </w:numPr>
        <w:spacing w:line="276" w:lineRule="auto"/>
        <w:rPr>
          <w:sz w:val="24"/>
          <w:szCs w:val="24"/>
        </w:rPr>
      </w:pPr>
      <w:r w:rsidRPr="00AE35C2">
        <w:rPr>
          <w:sz w:val="24"/>
          <w:szCs w:val="24"/>
        </w:rPr>
        <w:t>Σ</w:t>
      </w:r>
      <w:r w:rsidR="001A05F2" w:rsidRPr="00AE35C2">
        <w:rPr>
          <w:sz w:val="24"/>
          <w:szCs w:val="24"/>
        </w:rPr>
        <w:t>ύμφωνα με το άρθρο 116 του ν. 4951/2022 το σχετικό κόστος μίσθωσης του πλοίου ΥΦΑ ανακτάται από τον ΔΕΣΦΑ μέσω του Τέλους Ασφάλειας Εφοδιασμού της παρ. 6 του άρθρου 73 του ν. 4001/2011. Το εν λόγω κόστος μίσθωσης εκτιμάται στο ποσό των 20 εκ. €</w:t>
      </w:r>
      <w:r w:rsidR="001A05F2" w:rsidRPr="00AE35C2">
        <w:rPr>
          <w:b/>
          <w:bCs/>
          <w:sz w:val="24"/>
          <w:szCs w:val="24"/>
        </w:rPr>
        <w:t xml:space="preserve"> </w:t>
      </w:r>
      <w:r w:rsidR="001A05F2" w:rsidRPr="00AE35C2">
        <w:rPr>
          <w:sz w:val="24"/>
          <w:szCs w:val="24"/>
        </w:rPr>
        <w:t>κατ’ έτος (μη συμπεριλαμβανομένου ΦΠΑ).</w:t>
      </w:r>
    </w:p>
    <w:p w14:paraId="6E03654E" w14:textId="77777777" w:rsidR="001A05F2" w:rsidRPr="00AE35C2" w:rsidRDefault="00F9602C" w:rsidP="00570B99">
      <w:pPr>
        <w:pStyle w:val="BodyTextNumbers"/>
        <w:numPr>
          <w:ilvl w:val="0"/>
          <w:numId w:val="4"/>
        </w:numPr>
        <w:spacing w:line="276" w:lineRule="auto"/>
        <w:rPr>
          <w:sz w:val="24"/>
          <w:szCs w:val="24"/>
        </w:rPr>
      </w:pPr>
      <w:r w:rsidRPr="00AE35C2">
        <w:rPr>
          <w:sz w:val="24"/>
          <w:szCs w:val="24"/>
        </w:rPr>
        <w:t>Τ</w:t>
      </w:r>
      <w:r w:rsidR="001A05F2" w:rsidRPr="00AE35C2">
        <w:rPr>
          <w:sz w:val="24"/>
          <w:szCs w:val="24"/>
        </w:rPr>
        <w:t xml:space="preserve">α λοιπά κόστη διαχείρισης της πλωτής δεξαμενής, όπως λειτουργικά έξοδα (κόστος καυσίμου, κόστος ρυμουλκών, λιμενικά τέλη, κόστη πρακτορείας, κ.λπ.) και εκτιμώμενες απώλειες λόγω των </w:t>
      </w:r>
      <w:proofErr w:type="spellStart"/>
      <w:r w:rsidR="001A05F2" w:rsidRPr="00AE35C2">
        <w:rPr>
          <w:sz w:val="24"/>
          <w:szCs w:val="24"/>
        </w:rPr>
        <w:t>απαερίων</w:t>
      </w:r>
      <w:proofErr w:type="spellEnd"/>
      <w:r w:rsidR="001A05F2" w:rsidRPr="00AE35C2">
        <w:rPr>
          <w:sz w:val="24"/>
          <w:szCs w:val="24"/>
        </w:rPr>
        <w:t xml:space="preserve"> ΥΦΑ (</w:t>
      </w:r>
      <w:proofErr w:type="spellStart"/>
      <w:r w:rsidR="001A05F2" w:rsidRPr="00AE35C2">
        <w:rPr>
          <w:sz w:val="24"/>
          <w:szCs w:val="24"/>
        </w:rPr>
        <w:t>Boil</w:t>
      </w:r>
      <w:proofErr w:type="spellEnd"/>
      <w:r w:rsidR="001A05F2" w:rsidRPr="00AE35C2">
        <w:rPr>
          <w:sz w:val="24"/>
          <w:szCs w:val="24"/>
        </w:rPr>
        <w:t xml:space="preserve"> </w:t>
      </w:r>
      <w:proofErr w:type="spellStart"/>
      <w:r w:rsidR="001A05F2" w:rsidRPr="00AE35C2">
        <w:rPr>
          <w:sz w:val="24"/>
          <w:szCs w:val="24"/>
        </w:rPr>
        <w:t>Off</w:t>
      </w:r>
      <w:proofErr w:type="spellEnd"/>
      <w:r w:rsidR="001A05F2" w:rsidRPr="00AE35C2">
        <w:rPr>
          <w:sz w:val="24"/>
          <w:szCs w:val="24"/>
        </w:rPr>
        <w:t xml:space="preserve"> </w:t>
      </w:r>
      <w:proofErr w:type="spellStart"/>
      <w:r w:rsidR="001A05F2" w:rsidRPr="00AE35C2">
        <w:rPr>
          <w:sz w:val="24"/>
          <w:szCs w:val="24"/>
        </w:rPr>
        <w:t>Gas</w:t>
      </w:r>
      <w:proofErr w:type="spellEnd"/>
      <w:r w:rsidR="001A05F2" w:rsidRPr="00AE35C2">
        <w:rPr>
          <w:sz w:val="24"/>
          <w:szCs w:val="24"/>
        </w:rPr>
        <w:t xml:space="preserve"> - BOG) δεν περιλαμβάνονται στο κόστος υποδομής και δεν αποζημιώνονται από το Τέλος Ασφάλειας Εφοδιασμού της παρ. 6 του άρθρου 73 του ν. 4001/2011, καθώς σχετίζονται με τη χρήση της υποδομής.</w:t>
      </w:r>
    </w:p>
    <w:p w14:paraId="135265D0" w14:textId="77777777" w:rsidR="001A05F2" w:rsidRPr="00AE35C2" w:rsidRDefault="00F9602C" w:rsidP="00570B99">
      <w:pPr>
        <w:pStyle w:val="BodyTextNumbers"/>
        <w:numPr>
          <w:ilvl w:val="0"/>
          <w:numId w:val="4"/>
        </w:numPr>
        <w:spacing w:line="276" w:lineRule="auto"/>
        <w:rPr>
          <w:sz w:val="24"/>
          <w:szCs w:val="24"/>
        </w:rPr>
      </w:pPr>
      <w:r w:rsidRPr="00AE35C2">
        <w:rPr>
          <w:sz w:val="24"/>
          <w:szCs w:val="24"/>
        </w:rPr>
        <w:t>Τ</w:t>
      </w:r>
      <w:r w:rsidR="001A05F2" w:rsidRPr="00AE35C2">
        <w:rPr>
          <w:sz w:val="24"/>
          <w:szCs w:val="24"/>
        </w:rPr>
        <w:t>ο ανωτέρω κόστος μίσθωσης πλωτής δεξαμενής ΥΦΑ</w:t>
      </w:r>
      <w:r w:rsidR="001A05F2" w:rsidRPr="00AE35C2">
        <w:rPr>
          <w:b/>
          <w:bCs/>
          <w:i/>
          <w:iCs/>
          <w:color w:val="808080"/>
          <w:sz w:val="24"/>
          <w:szCs w:val="24"/>
        </w:rPr>
        <w:t xml:space="preserve"> </w:t>
      </w:r>
      <w:r w:rsidR="001A05F2" w:rsidRPr="00AE35C2">
        <w:rPr>
          <w:sz w:val="24"/>
          <w:szCs w:val="24"/>
        </w:rPr>
        <w:t>είναι ανταποδοτικό αυξάνοντας το διαθέσιμο αποθηκευτικό χώρο της Εγκατάστασης ΥΦΑ από 225.000 m</w:t>
      </w:r>
      <w:r w:rsidR="001A05F2" w:rsidRPr="00AE35C2">
        <w:rPr>
          <w:sz w:val="24"/>
          <w:szCs w:val="24"/>
          <w:vertAlign w:val="superscript"/>
        </w:rPr>
        <w:t>3</w:t>
      </w:r>
      <w:r w:rsidR="001A05F2" w:rsidRPr="00AE35C2">
        <w:rPr>
          <w:sz w:val="24"/>
          <w:szCs w:val="24"/>
        </w:rPr>
        <w:t xml:space="preserve"> σε άνω των 370.000 m</w:t>
      </w:r>
      <w:r w:rsidR="001A05F2" w:rsidRPr="00AE35C2">
        <w:rPr>
          <w:sz w:val="24"/>
          <w:szCs w:val="24"/>
          <w:vertAlign w:val="superscript"/>
        </w:rPr>
        <w:t>3</w:t>
      </w:r>
      <w:r w:rsidR="001A05F2" w:rsidRPr="00AE35C2">
        <w:rPr>
          <w:sz w:val="24"/>
          <w:szCs w:val="24"/>
        </w:rPr>
        <w:t>, και αποσκοπεί στην ενίσχυση της προστασίας των καταναλωτών σε περίπτωση εμφάνισης σημαντικών διαταραχών στη ζήτηση ή/και την προμήθεια φυσικού αερίου, λόγω των εξελίξεων στην αγορά ενέργειας και τη συνεχιζόμενη αβεβαιότητα ως προς την εξέλιξη της ενεργειακής κρίσης.</w:t>
      </w:r>
    </w:p>
    <w:p w14:paraId="5B18956F" w14:textId="77777777" w:rsidR="001A05F2" w:rsidRPr="00AE35C2" w:rsidRDefault="00F9602C" w:rsidP="00570B99">
      <w:pPr>
        <w:pStyle w:val="a7"/>
        <w:numPr>
          <w:ilvl w:val="0"/>
          <w:numId w:val="4"/>
        </w:numPr>
        <w:tabs>
          <w:tab w:val="left" w:pos="0"/>
          <w:tab w:val="left" w:pos="284"/>
        </w:tabs>
        <w:spacing w:before="120" w:after="120" w:line="276" w:lineRule="auto"/>
        <w:contextualSpacing w:val="0"/>
        <w:jc w:val="both"/>
      </w:pPr>
      <w:r w:rsidRPr="00AE35C2">
        <w:t>Σ</w:t>
      </w:r>
      <w:r w:rsidR="001A05F2" w:rsidRPr="00AE35C2">
        <w:t xml:space="preserve">ύμφωνα με τα ανωτέρω, </w:t>
      </w:r>
      <w:r w:rsidR="001A05F2" w:rsidRPr="00AE35C2">
        <w:rPr>
          <w:u w:val="single"/>
        </w:rPr>
        <w:t xml:space="preserve">το άνω όριο κόστους για την κάλυψη της έκτακτης δαπάνης για τη 12μηνη μίσθωση του πλοίου ΥΦΑ </w:t>
      </w:r>
      <w:proofErr w:type="spellStart"/>
      <w:r w:rsidR="001A05F2" w:rsidRPr="00AE35C2">
        <w:rPr>
          <w:u w:val="single"/>
        </w:rPr>
        <w:t>οριοθετείται</w:t>
      </w:r>
      <w:proofErr w:type="spellEnd"/>
      <w:r w:rsidR="001A05F2" w:rsidRPr="00AE35C2">
        <w:rPr>
          <w:u w:val="single"/>
        </w:rPr>
        <w:t xml:space="preserve"> στο ύψος των </w:t>
      </w:r>
      <w:r w:rsidR="001A05F2" w:rsidRPr="00AE35C2">
        <w:rPr>
          <w:b/>
          <w:bCs/>
          <w:u w:val="single"/>
        </w:rPr>
        <w:t>20 εκ. €</w:t>
      </w:r>
      <w:r w:rsidR="001A05F2" w:rsidRPr="00AE35C2">
        <w:t xml:space="preserve">. </w:t>
      </w:r>
    </w:p>
    <w:p w14:paraId="2BB8CEDB" w14:textId="2F2F85F8" w:rsidR="00E625A8" w:rsidRPr="00AE35C2" w:rsidRDefault="00570B99" w:rsidP="00570B99">
      <w:pPr>
        <w:pStyle w:val="BodyTextNumbers"/>
        <w:tabs>
          <w:tab w:val="clear" w:pos="567"/>
        </w:tabs>
        <w:spacing w:line="276" w:lineRule="auto"/>
        <w:ind w:left="0" w:firstLine="0"/>
        <w:rPr>
          <w:rFonts w:ascii="Calibri" w:hAnsi="Calibri" w:cs="Calibri"/>
          <w:b/>
          <w:bCs/>
          <w:color w:val="808080"/>
          <w:kern w:val="28"/>
          <w:sz w:val="28"/>
          <w:szCs w:val="28"/>
          <w:lang w:eastAsia="en-US"/>
        </w:rPr>
      </w:pPr>
      <w:bookmarkStart w:id="6" w:name="_Hlk115365839"/>
      <w:r w:rsidRPr="00AE35C2">
        <w:rPr>
          <w:rFonts w:ascii="Calibri" w:hAnsi="Calibri" w:cs="Calibri"/>
          <w:b/>
          <w:bCs/>
          <w:color w:val="808080"/>
          <w:kern w:val="28"/>
          <w:sz w:val="28"/>
          <w:szCs w:val="28"/>
          <w:lang w:eastAsia="en-US"/>
        </w:rPr>
        <w:lastRenderedPageBreak/>
        <w:t xml:space="preserve">Δ. </w:t>
      </w:r>
      <w:r w:rsidR="00E625A8" w:rsidRPr="00AE35C2">
        <w:rPr>
          <w:rFonts w:ascii="Calibri" w:hAnsi="Calibri" w:cs="Calibri"/>
          <w:b/>
          <w:bCs/>
          <w:color w:val="808080"/>
          <w:kern w:val="28"/>
          <w:sz w:val="28"/>
          <w:szCs w:val="28"/>
          <w:lang w:eastAsia="en-US"/>
        </w:rPr>
        <w:t>Ως προς την εκτίμηση της Δράσης Δ3 του Σχεδίου Προληπτικής Δράσης</w:t>
      </w:r>
      <w:r w:rsidR="00E625A8" w:rsidRPr="00AE35C2">
        <w:t xml:space="preserve"> </w:t>
      </w:r>
      <w:r w:rsidR="00E625A8" w:rsidRPr="00AE35C2">
        <w:rPr>
          <w:rFonts w:ascii="Calibri" w:hAnsi="Calibri" w:cs="Calibri"/>
          <w:b/>
          <w:bCs/>
          <w:color w:val="808080"/>
          <w:kern w:val="28"/>
          <w:sz w:val="28"/>
          <w:szCs w:val="28"/>
          <w:lang w:eastAsia="en-US"/>
        </w:rPr>
        <w:t>(</w:t>
      </w:r>
      <w:bookmarkStart w:id="7" w:name="_Hlk115276305"/>
      <w:r w:rsidR="00E625A8" w:rsidRPr="00AE35C2">
        <w:rPr>
          <w:rFonts w:ascii="Calibri" w:hAnsi="Calibri" w:cs="Calibri"/>
          <w:b/>
          <w:bCs/>
          <w:color w:val="808080"/>
          <w:kern w:val="28"/>
          <w:sz w:val="28"/>
          <w:szCs w:val="28"/>
          <w:lang w:eastAsia="en-US"/>
        </w:rPr>
        <w:t>διατήρηση αποθέματος ΦΑ σε υπόγεια υποδομή αποθήκευσης άλλου Κράτους – Μέλους</w:t>
      </w:r>
      <w:bookmarkEnd w:id="7"/>
      <w:r w:rsidR="00E625A8" w:rsidRPr="00AE35C2">
        <w:rPr>
          <w:rFonts w:ascii="Calibri" w:hAnsi="Calibri" w:cs="Calibri"/>
          <w:b/>
          <w:bCs/>
          <w:color w:val="808080"/>
          <w:kern w:val="28"/>
          <w:sz w:val="28"/>
          <w:szCs w:val="28"/>
          <w:lang w:eastAsia="en-US"/>
        </w:rPr>
        <w:t>)</w:t>
      </w:r>
    </w:p>
    <w:bookmarkEnd w:id="6"/>
    <w:p w14:paraId="6BE46A64" w14:textId="77777777" w:rsidR="00E625A8" w:rsidRPr="00AE35C2" w:rsidRDefault="00E625A8" w:rsidP="00570B99">
      <w:pPr>
        <w:pStyle w:val="a7"/>
        <w:numPr>
          <w:ilvl w:val="0"/>
          <w:numId w:val="4"/>
        </w:numPr>
        <w:tabs>
          <w:tab w:val="left" w:pos="720"/>
        </w:tabs>
        <w:spacing w:before="120" w:after="120" w:line="276" w:lineRule="auto"/>
        <w:contextualSpacing w:val="0"/>
        <w:jc w:val="both"/>
        <w:rPr>
          <w:spacing w:val="-5"/>
        </w:rPr>
      </w:pPr>
      <w:r w:rsidRPr="00AE35C2">
        <w:rPr>
          <w:spacing w:val="-5"/>
        </w:rPr>
        <w:t>Δεδομένου ότι η Ιταλία και η Βουλγαρία είναι τα μόνα γειτονικά Κράτη-Μέλη διασυνδεδεμένα με την Ελλάδα, και λαμβάνοντας υπόψη ότι η αδιάλειπτη δυναμικότητα στο Σημείο Εισόδου Σιδηρόκαστρο έχει εξαντληθεί, έγινε προκαταρκτική εκτίμηση του κόστους για την μεταφορά και αποθήκευση ΦΑ σε αποθήκες της Ιταλίας. Οι Υπόχρεοι της δράσης Δ3, οι οποίοι θα αποθηκεύσουν ΦΑ στην Ιταλία, κατά την περίοδο απόληψης θα «εισάγουν» το ΦΑ που έχουν αποθηκεύσει στο ΕΣΦΑ στο Σημείο Εισόδου (ΣΕ) Νέα Μεσημβρία, μέσω εικονικής ανάστροφης ροής από τον αγωγό ΤΑΡ.</w:t>
      </w:r>
    </w:p>
    <w:p w14:paraId="34D27F6E" w14:textId="77777777" w:rsidR="00E625A8" w:rsidRPr="00AE35C2" w:rsidRDefault="00E625A8" w:rsidP="00570B99">
      <w:pPr>
        <w:pStyle w:val="a7"/>
        <w:numPr>
          <w:ilvl w:val="0"/>
          <w:numId w:val="4"/>
        </w:numPr>
        <w:tabs>
          <w:tab w:val="left" w:pos="720"/>
        </w:tabs>
        <w:spacing w:before="120" w:after="120" w:line="276" w:lineRule="auto"/>
        <w:contextualSpacing w:val="0"/>
        <w:jc w:val="both"/>
        <w:rPr>
          <w:spacing w:val="-5"/>
        </w:rPr>
      </w:pPr>
      <w:r w:rsidRPr="00AE35C2">
        <w:t>Η</w:t>
      </w:r>
      <w:r w:rsidRPr="00AE35C2">
        <w:rPr>
          <w:spacing w:val="-5"/>
        </w:rPr>
        <w:t xml:space="preserve"> τεχνικά μέγιστη διαθέσιμη δυναμικότητα εισαγωγής αερίου στο σημείο εισόδου Νέα Μεσημβρία προσδιορίστηκε, για συνθήκες μη διακοπής ρωσικού αερίου, στις 7.522 </w:t>
      </w:r>
      <w:proofErr w:type="spellStart"/>
      <w:r w:rsidRPr="00AE35C2">
        <w:rPr>
          <w:spacing w:val="-5"/>
        </w:rPr>
        <w:t>MWh</w:t>
      </w:r>
      <w:proofErr w:type="spellEnd"/>
      <w:r w:rsidRPr="00AE35C2">
        <w:rPr>
          <w:spacing w:val="-5"/>
        </w:rPr>
        <w:t>/d, λαμβάνοντας υπόψη και τα αποτελέσματα της ετήσιας δημοπρασίας δέσμευσης δυναμικότητας που διεξήχθη από τον ΔΕΣΦΑ την 4</w:t>
      </w:r>
      <w:r w:rsidRPr="00AE35C2">
        <w:rPr>
          <w:spacing w:val="-5"/>
          <w:vertAlign w:val="superscript"/>
        </w:rPr>
        <w:t>η</w:t>
      </w:r>
      <w:r w:rsidRPr="00AE35C2">
        <w:rPr>
          <w:spacing w:val="-5"/>
        </w:rPr>
        <w:t xml:space="preserve"> Ιουλίου 2022. Καθώς η αποθηκευμένη ποσότητα θα πρέπει να είναι διαθέσιμη για εμπορική χρήση μεταξύ 1</w:t>
      </w:r>
      <w:r w:rsidRPr="00AE35C2">
        <w:rPr>
          <w:spacing w:val="-5"/>
          <w:vertAlign w:val="superscript"/>
        </w:rPr>
        <w:t xml:space="preserve"> </w:t>
      </w:r>
      <w:r w:rsidRPr="00AE35C2">
        <w:rPr>
          <w:spacing w:val="-5"/>
        </w:rPr>
        <w:t xml:space="preserve">Νοεμβρίου 2022 – 31 Μαρτίου 2023, και λαμβάνοντας υπόψη την ανωτέρω δυναμικότητα ως ημερήσιο ρυθμό απόληψης, η συνολική ποσότητα που αντιστοιχεί στο παραπάνω χρονικό διάστημα ισοδυναμεί με </w:t>
      </w:r>
      <w:r w:rsidRPr="00AE35C2">
        <w:rPr>
          <w:b/>
          <w:bCs/>
          <w:spacing w:val="-5"/>
        </w:rPr>
        <w:t xml:space="preserve">1,14 </w:t>
      </w:r>
      <w:proofErr w:type="spellStart"/>
      <w:r w:rsidRPr="00AE35C2">
        <w:rPr>
          <w:b/>
          <w:bCs/>
          <w:spacing w:val="-5"/>
        </w:rPr>
        <w:t>TWh</w:t>
      </w:r>
      <w:proofErr w:type="spellEnd"/>
      <w:r w:rsidRPr="00AE35C2">
        <w:rPr>
          <w:spacing w:val="-5"/>
        </w:rPr>
        <w:t xml:space="preserve"> φυσικού αερίου. </w:t>
      </w:r>
    </w:p>
    <w:p w14:paraId="0A6F779B" w14:textId="77777777" w:rsidR="00E625A8" w:rsidRPr="00AE35C2" w:rsidRDefault="00E625A8" w:rsidP="00570B99">
      <w:pPr>
        <w:pStyle w:val="a7"/>
        <w:numPr>
          <w:ilvl w:val="0"/>
          <w:numId w:val="4"/>
        </w:numPr>
        <w:tabs>
          <w:tab w:val="left" w:pos="720"/>
        </w:tabs>
        <w:spacing w:before="120" w:after="120" w:line="276" w:lineRule="auto"/>
        <w:contextualSpacing w:val="0"/>
        <w:jc w:val="both"/>
        <w:rPr>
          <w:spacing w:val="-5"/>
        </w:rPr>
      </w:pPr>
      <w:r w:rsidRPr="00AE35C2">
        <w:t>Τ</w:t>
      </w:r>
      <w:r w:rsidRPr="00AE35C2">
        <w:rPr>
          <w:spacing w:val="-5"/>
        </w:rPr>
        <w:t>ο ύψος του αποθέματος που οφείλουν να τηρούν στις εγκαταστάσεις αποθήκευσης γειτονικών Κ-Μ ορίζεται ίσο με το γινόμενο του μεριδίου των εισαγωγών τους στην Ελληνική αγορά όπως αυτό παρουσιάζεται στον Πίνακα 3, επί τη συνολική δυναμικότητα αποθήκευσης στην Ιταλία (ποσότητα ίση με 1,14TWh).</w:t>
      </w:r>
    </w:p>
    <w:p w14:paraId="714C2436" w14:textId="77777777" w:rsidR="000C1B73" w:rsidRPr="00AE35C2" w:rsidRDefault="000C1B73" w:rsidP="00570B99">
      <w:pPr>
        <w:tabs>
          <w:tab w:val="left" w:pos="720"/>
        </w:tabs>
        <w:suppressAutoHyphens/>
        <w:spacing w:before="120" w:after="120" w:line="276" w:lineRule="auto"/>
        <w:jc w:val="both"/>
        <w:rPr>
          <w:b/>
          <w:spacing w:val="-5"/>
          <w:sz w:val="22"/>
          <w:szCs w:val="22"/>
          <w:lang w:eastAsia="ar-SA"/>
        </w:rPr>
      </w:pPr>
      <w:r w:rsidRPr="00AE35C2">
        <w:rPr>
          <w:b/>
          <w:spacing w:val="-5"/>
          <w:sz w:val="22"/>
          <w:szCs w:val="22"/>
          <w:lang w:eastAsia="ar-SA"/>
        </w:rPr>
        <w:t xml:space="preserve">Πίνακας 3: </w:t>
      </w:r>
      <w:r w:rsidRPr="00AE35C2">
        <w:rPr>
          <w:bCs/>
          <w:spacing w:val="-5"/>
          <w:sz w:val="22"/>
          <w:szCs w:val="22"/>
          <w:lang w:eastAsia="ar-SA"/>
        </w:rPr>
        <w:t xml:space="preserve">Υπόχρεοι Προμηθευτές και ποσότητες διατήρησης αποθέματος για την υλοποίηση της δράσης Δ3 </w:t>
      </w:r>
    </w:p>
    <w:tbl>
      <w:tblPr>
        <w:tblW w:w="8421" w:type="dxa"/>
        <w:jc w:val="center"/>
        <w:tblCellMar>
          <w:left w:w="0" w:type="dxa"/>
          <w:right w:w="0" w:type="dxa"/>
        </w:tblCellMar>
        <w:tblLook w:val="04A0" w:firstRow="1" w:lastRow="0" w:firstColumn="1" w:lastColumn="0" w:noHBand="0" w:noVBand="1"/>
      </w:tblPr>
      <w:tblGrid>
        <w:gridCol w:w="1776"/>
        <w:gridCol w:w="709"/>
        <w:gridCol w:w="687"/>
        <w:gridCol w:w="687"/>
        <w:gridCol w:w="682"/>
        <w:gridCol w:w="694"/>
        <w:gridCol w:w="2057"/>
        <w:gridCol w:w="1129"/>
      </w:tblGrid>
      <w:tr w:rsidR="000C1B73" w:rsidRPr="00AE35C2" w14:paraId="17312B27" w14:textId="77777777" w:rsidTr="007816B5">
        <w:trPr>
          <w:trHeight w:val="620"/>
          <w:jc w:val="center"/>
        </w:trPr>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62095" w14:textId="77777777" w:rsidR="000C1B73" w:rsidRPr="00AE35C2" w:rsidRDefault="000C1B73" w:rsidP="00570B99">
            <w:pPr>
              <w:spacing w:before="60" w:after="60" w:line="259" w:lineRule="auto"/>
              <w:jc w:val="both"/>
              <w:rPr>
                <w:rFonts w:eastAsia="Calibri"/>
                <w:b/>
                <w:bCs/>
                <w:sz w:val="22"/>
                <w:szCs w:val="22"/>
                <w:lang w:eastAsia="en-US"/>
              </w:rPr>
            </w:pPr>
            <w:r w:rsidRPr="00AE35C2">
              <w:rPr>
                <w:rFonts w:eastAsia="Calibri"/>
                <w:b/>
                <w:bCs/>
                <w:sz w:val="22"/>
                <w:szCs w:val="22"/>
                <w:lang w:eastAsia="en-US"/>
              </w:rPr>
              <w:t>Υπόχρεοι Προμηθευτές</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ECBC70" w14:textId="77777777" w:rsidR="000C1B73" w:rsidRPr="00AE35C2" w:rsidRDefault="000C1B73" w:rsidP="00570B99">
            <w:pPr>
              <w:spacing w:before="60" w:after="60" w:line="259" w:lineRule="auto"/>
              <w:jc w:val="both"/>
              <w:rPr>
                <w:rFonts w:eastAsia="Calibri"/>
                <w:b/>
                <w:bCs/>
                <w:sz w:val="22"/>
                <w:szCs w:val="22"/>
                <w:lang w:val="en-US" w:eastAsia="en-US"/>
              </w:rPr>
            </w:pPr>
            <w:r w:rsidRPr="00AE35C2">
              <w:rPr>
                <w:rFonts w:eastAsia="Calibri"/>
                <w:b/>
                <w:bCs/>
                <w:sz w:val="22"/>
                <w:szCs w:val="22"/>
                <w:lang w:val="en-US" w:eastAsia="en-US"/>
              </w:rPr>
              <w:t>2017</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5D307" w14:textId="77777777" w:rsidR="000C1B73" w:rsidRPr="00AE35C2" w:rsidRDefault="000C1B73" w:rsidP="00570B99">
            <w:pPr>
              <w:spacing w:before="60" w:after="60" w:line="259" w:lineRule="auto"/>
              <w:jc w:val="both"/>
              <w:rPr>
                <w:rFonts w:eastAsia="Calibri"/>
                <w:b/>
                <w:bCs/>
                <w:sz w:val="22"/>
                <w:szCs w:val="22"/>
                <w:lang w:val="en-US" w:eastAsia="en-US"/>
              </w:rPr>
            </w:pPr>
            <w:r w:rsidRPr="00AE35C2">
              <w:rPr>
                <w:rFonts w:eastAsia="Calibri"/>
                <w:b/>
                <w:bCs/>
                <w:sz w:val="22"/>
                <w:szCs w:val="22"/>
                <w:lang w:val="en-US" w:eastAsia="en-US"/>
              </w:rPr>
              <w:t>2018</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D922D" w14:textId="77777777" w:rsidR="000C1B73" w:rsidRPr="00AE35C2" w:rsidRDefault="000C1B73" w:rsidP="00570B99">
            <w:pPr>
              <w:spacing w:before="60" w:after="60" w:line="259" w:lineRule="auto"/>
              <w:jc w:val="both"/>
              <w:rPr>
                <w:rFonts w:eastAsia="Calibri"/>
                <w:b/>
                <w:bCs/>
                <w:sz w:val="22"/>
                <w:szCs w:val="22"/>
                <w:lang w:val="en-US" w:eastAsia="en-US"/>
              </w:rPr>
            </w:pPr>
            <w:r w:rsidRPr="00AE35C2">
              <w:rPr>
                <w:rFonts w:eastAsia="Calibri"/>
                <w:b/>
                <w:bCs/>
                <w:sz w:val="22"/>
                <w:szCs w:val="22"/>
                <w:lang w:val="en-US" w:eastAsia="en-US"/>
              </w:rPr>
              <w:t>2019</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5DB1FF" w14:textId="77777777" w:rsidR="000C1B73" w:rsidRPr="00AE35C2" w:rsidRDefault="000C1B73" w:rsidP="00570B99">
            <w:pPr>
              <w:spacing w:before="60" w:after="60" w:line="259" w:lineRule="auto"/>
              <w:jc w:val="both"/>
              <w:rPr>
                <w:rFonts w:eastAsia="Calibri"/>
                <w:b/>
                <w:bCs/>
                <w:sz w:val="22"/>
                <w:szCs w:val="22"/>
                <w:lang w:val="en-US" w:eastAsia="en-US"/>
              </w:rPr>
            </w:pPr>
            <w:r w:rsidRPr="00AE35C2">
              <w:rPr>
                <w:rFonts w:eastAsia="Calibri"/>
                <w:b/>
                <w:bCs/>
                <w:sz w:val="22"/>
                <w:szCs w:val="22"/>
                <w:lang w:val="en-US" w:eastAsia="en-US"/>
              </w:rPr>
              <w:t>2020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8261F9" w14:textId="77777777" w:rsidR="000C1B73" w:rsidRPr="00AE35C2" w:rsidRDefault="000C1B73" w:rsidP="00570B99">
            <w:pPr>
              <w:spacing w:before="60" w:after="60" w:line="259" w:lineRule="auto"/>
              <w:jc w:val="both"/>
              <w:rPr>
                <w:rFonts w:eastAsia="Calibri"/>
                <w:b/>
                <w:bCs/>
                <w:sz w:val="22"/>
                <w:szCs w:val="22"/>
                <w:lang w:val="en-US" w:eastAsia="en-US"/>
              </w:rPr>
            </w:pPr>
            <w:r w:rsidRPr="00AE35C2">
              <w:rPr>
                <w:rFonts w:eastAsia="Calibri"/>
                <w:b/>
                <w:bCs/>
                <w:sz w:val="22"/>
                <w:szCs w:val="22"/>
                <w:lang w:val="en-US" w:eastAsia="en-US"/>
              </w:rPr>
              <w:t>2021</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F55B3C" w14:textId="77777777" w:rsidR="000C1B73" w:rsidRPr="00AE35C2" w:rsidRDefault="000C1B73" w:rsidP="00570B99">
            <w:pPr>
              <w:spacing w:before="60" w:after="60" w:line="259" w:lineRule="auto"/>
              <w:jc w:val="center"/>
              <w:rPr>
                <w:rFonts w:eastAsia="Calibri"/>
                <w:b/>
                <w:bCs/>
                <w:sz w:val="22"/>
                <w:szCs w:val="22"/>
                <w:lang w:eastAsia="en-US"/>
              </w:rPr>
            </w:pPr>
            <w:r w:rsidRPr="00AE35C2">
              <w:rPr>
                <w:rFonts w:eastAsia="Calibri"/>
                <w:b/>
                <w:bCs/>
                <w:sz w:val="22"/>
                <w:szCs w:val="22"/>
                <w:lang w:eastAsia="en-US"/>
              </w:rPr>
              <w:t>Σταθμισμένο ποσοστό /μερίδιο εισαγωγών τελευταίας 5ετίας</w:t>
            </w:r>
          </w:p>
        </w:tc>
        <w:tc>
          <w:tcPr>
            <w:tcW w:w="1129" w:type="dxa"/>
            <w:tcBorders>
              <w:top w:val="single" w:sz="8" w:space="0" w:color="auto"/>
              <w:left w:val="nil"/>
              <w:bottom w:val="single" w:sz="8" w:space="0" w:color="auto"/>
              <w:right w:val="single" w:sz="8" w:space="0" w:color="auto"/>
            </w:tcBorders>
            <w:vAlign w:val="center"/>
          </w:tcPr>
          <w:p w14:paraId="7FB9D519" w14:textId="77777777" w:rsidR="000C1B73" w:rsidRPr="00AE35C2" w:rsidRDefault="000C1B73" w:rsidP="00570B99">
            <w:pPr>
              <w:spacing w:before="60" w:after="60" w:line="259" w:lineRule="auto"/>
              <w:jc w:val="center"/>
              <w:rPr>
                <w:rFonts w:eastAsia="Calibri"/>
                <w:b/>
                <w:bCs/>
                <w:sz w:val="22"/>
                <w:szCs w:val="22"/>
                <w:lang w:val="en-US" w:eastAsia="en-US"/>
              </w:rPr>
            </w:pPr>
            <w:r w:rsidRPr="00AE35C2">
              <w:rPr>
                <w:rFonts w:eastAsia="Calibri"/>
                <w:b/>
                <w:bCs/>
                <w:sz w:val="22"/>
                <w:szCs w:val="22"/>
                <w:lang w:eastAsia="en-US"/>
              </w:rPr>
              <w:t xml:space="preserve">Υποχρέωση σε </w:t>
            </w:r>
            <w:r w:rsidRPr="00AE35C2">
              <w:rPr>
                <w:rFonts w:eastAsia="Calibri"/>
                <w:b/>
                <w:bCs/>
                <w:sz w:val="22"/>
                <w:szCs w:val="22"/>
                <w:lang w:val="en-US" w:eastAsia="en-US"/>
              </w:rPr>
              <w:t>MWh</w:t>
            </w:r>
          </w:p>
        </w:tc>
      </w:tr>
      <w:tr w:rsidR="000C1B73" w:rsidRPr="00AE35C2" w14:paraId="56A85842" w14:textId="77777777" w:rsidTr="007816B5">
        <w:trPr>
          <w:trHeight w:val="574"/>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12F70" w14:textId="77777777" w:rsidR="000C1B73" w:rsidRPr="00AE35C2" w:rsidRDefault="000C1B73" w:rsidP="00570B99">
            <w:pPr>
              <w:spacing w:before="60" w:after="60" w:line="259" w:lineRule="auto"/>
              <w:jc w:val="both"/>
              <w:rPr>
                <w:rFonts w:eastAsia="Calibri"/>
                <w:sz w:val="22"/>
                <w:szCs w:val="22"/>
                <w:lang w:val="en-US" w:eastAsia="en-US"/>
              </w:rPr>
            </w:pPr>
            <w:r w:rsidRPr="00AE35C2">
              <w:rPr>
                <w:rFonts w:eastAsia="Calibri"/>
                <w:sz w:val="22"/>
                <w:szCs w:val="22"/>
                <w:lang w:val="en-US" w:eastAsia="en-US"/>
              </w:rPr>
              <w:t>ΔΕΠΑ</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995C556" w14:textId="77777777" w:rsidR="000C1B73" w:rsidRPr="00AE35C2" w:rsidRDefault="000C1B73" w:rsidP="00570B99">
            <w:pPr>
              <w:spacing w:before="60" w:after="60" w:line="259" w:lineRule="auto"/>
              <w:rPr>
                <w:rFonts w:eastAsia="Calibri"/>
                <w:sz w:val="22"/>
                <w:szCs w:val="22"/>
                <w:lang w:val="en-US" w:eastAsia="en-US"/>
              </w:rPr>
            </w:pPr>
            <w:r w:rsidRPr="00AE35C2">
              <w:rPr>
                <w:rFonts w:eastAsia="Calibri"/>
                <w:sz w:val="22"/>
                <w:szCs w:val="22"/>
                <w:lang w:val="en-US" w:eastAsia="en-US"/>
              </w:rPr>
              <w:t>76%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11C0526E"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71%</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1A2705CD"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41%</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66165A05"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36%</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028855C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52%</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434F4C3F"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54,6%</w:t>
            </w:r>
          </w:p>
        </w:tc>
        <w:tc>
          <w:tcPr>
            <w:tcW w:w="1129" w:type="dxa"/>
            <w:tcBorders>
              <w:top w:val="nil"/>
              <w:left w:val="nil"/>
              <w:bottom w:val="single" w:sz="8" w:space="0" w:color="auto"/>
              <w:right w:val="single" w:sz="8" w:space="0" w:color="auto"/>
            </w:tcBorders>
          </w:tcPr>
          <w:p w14:paraId="542CD305"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622</w:t>
            </w:r>
            <w:r w:rsidRPr="00AE35C2">
              <w:rPr>
                <w:rFonts w:eastAsia="Calibri"/>
                <w:sz w:val="22"/>
                <w:szCs w:val="22"/>
                <w:lang w:val="en-US" w:eastAsia="en-US"/>
              </w:rPr>
              <w:t>.</w:t>
            </w:r>
            <w:r w:rsidRPr="00AE35C2">
              <w:rPr>
                <w:rFonts w:eastAsia="Calibri"/>
                <w:sz w:val="22"/>
                <w:szCs w:val="22"/>
                <w:lang w:eastAsia="en-US"/>
              </w:rPr>
              <w:t>44</w:t>
            </w:r>
            <w:r w:rsidRPr="00AE35C2">
              <w:rPr>
                <w:rFonts w:eastAsia="Calibri"/>
                <w:sz w:val="22"/>
                <w:szCs w:val="22"/>
                <w:lang w:val="en-US" w:eastAsia="en-US"/>
              </w:rPr>
              <w:t>0</w:t>
            </w:r>
          </w:p>
        </w:tc>
      </w:tr>
      <w:tr w:rsidR="000C1B73" w:rsidRPr="00AE35C2" w14:paraId="54F98C6B" w14:textId="77777777" w:rsidTr="007816B5">
        <w:trPr>
          <w:trHeight w:val="365"/>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B5F8" w14:textId="77777777" w:rsidR="000C1B73" w:rsidRPr="00AE35C2" w:rsidRDefault="000C1B73" w:rsidP="00570B99">
            <w:pPr>
              <w:spacing w:before="60" w:after="60" w:line="259" w:lineRule="auto"/>
              <w:rPr>
                <w:rFonts w:eastAsia="Calibri"/>
                <w:sz w:val="22"/>
                <w:szCs w:val="22"/>
                <w:lang w:val="en-US" w:eastAsia="en-US"/>
              </w:rPr>
            </w:pPr>
            <w:r w:rsidRPr="00AE35C2">
              <w:rPr>
                <w:rFonts w:eastAsia="Calibri"/>
                <w:sz w:val="22"/>
                <w:szCs w:val="22"/>
                <w:lang w:val="en-US" w:eastAsia="en-US"/>
              </w:rPr>
              <w:t>ΜΥΤΙΛΗΝΑΙΟΣ</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DA7A457"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4%</w:t>
            </w:r>
          </w:p>
          <w:p w14:paraId="33586EC1"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629DB11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10%</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569F8410"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36%</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409A494E"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36%</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79FB19F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23%</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311FF06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23,5%</w:t>
            </w:r>
          </w:p>
        </w:tc>
        <w:tc>
          <w:tcPr>
            <w:tcW w:w="1129" w:type="dxa"/>
            <w:tcBorders>
              <w:top w:val="nil"/>
              <w:left w:val="nil"/>
              <w:bottom w:val="single" w:sz="8" w:space="0" w:color="auto"/>
              <w:right w:val="single" w:sz="8" w:space="0" w:color="auto"/>
            </w:tcBorders>
          </w:tcPr>
          <w:p w14:paraId="3156409D"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267</w:t>
            </w:r>
            <w:r w:rsidRPr="00AE35C2">
              <w:rPr>
                <w:rFonts w:eastAsia="Calibri"/>
                <w:sz w:val="22"/>
                <w:szCs w:val="22"/>
                <w:lang w:val="en-US" w:eastAsia="en-US"/>
              </w:rPr>
              <w:t>.</w:t>
            </w:r>
            <w:r w:rsidRPr="00AE35C2">
              <w:rPr>
                <w:rFonts w:eastAsia="Calibri"/>
                <w:sz w:val="22"/>
                <w:szCs w:val="22"/>
                <w:lang w:eastAsia="en-US"/>
              </w:rPr>
              <w:t>9</w:t>
            </w:r>
            <w:r w:rsidRPr="00AE35C2">
              <w:rPr>
                <w:rFonts w:eastAsia="Calibri"/>
                <w:sz w:val="22"/>
                <w:szCs w:val="22"/>
                <w:lang w:val="en-US" w:eastAsia="en-US"/>
              </w:rPr>
              <w:t>00</w:t>
            </w:r>
          </w:p>
        </w:tc>
      </w:tr>
      <w:tr w:rsidR="000C1B73" w:rsidRPr="00AE35C2" w14:paraId="01F8FC0A" w14:textId="77777777" w:rsidTr="007816B5">
        <w:trPr>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C65B" w14:textId="77777777" w:rsidR="000C1B73" w:rsidRPr="00AE35C2" w:rsidRDefault="000C1B73" w:rsidP="00570B99">
            <w:pPr>
              <w:spacing w:before="60" w:after="60" w:line="259" w:lineRule="auto"/>
              <w:jc w:val="both"/>
              <w:rPr>
                <w:rFonts w:eastAsia="Calibri"/>
                <w:sz w:val="22"/>
                <w:szCs w:val="22"/>
                <w:lang w:val="en-US" w:eastAsia="en-US"/>
              </w:rPr>
            </w:pPr>
            <w:r w:rsidRPr="00AE35C2">
              <w:rPr>
                <w:rFonts w:eastAsia="Calibri"/>
                <w:sz w:val="22"/>
                <w:szCs w:val="22"/>
                <w:lang w:val="en-US" w:eastAsia="en-US"/>
              </w:rPr>
              <w:t>ΠΡΟΜΗΘΕΑΣ</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7A25099"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19%</w:t>
            </w:r>
          </w:p>
          <w:p w14:paraId="18FAD89F"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6A5519D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19%</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5DCD0AEB"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11%</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1E28D3F5"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1F5817C7"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6%</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1194E27F"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12,1%</w:t>
            </w:r>
          </w:p>
        </w:tc>
        <w:tc>
          <w:tcPr>
            <w:tcW w:w="1129" w:type="dxa"/>
            <w:tcBorders>
              <w:top w:val="nil"/>
              <w:left w:val="nil"/>
              <w:bottom w:val="single" w:sz="8" w:space="0" w:color="auto"/>
              <w:right w:val="single" w:sz="8" w:space="0" w:color="auto"/>
            </w:tcBorders>
          </w:tcPr>
          <w:p w14:paraId="17C1D444"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137</w:t>
            </w:r>
            <w:r w:rsidRPr="00AE35C2">
              <w:rPr>
                <w:rFonts w:eastAsia="Calibri"/>
                <w:sz w:val="22"/>
                <w:szCs w:val="22"/>
                <w:lang w:val="en-US" w:eastAsia="en-US"/>
              </w:rPr>
              <w:t>.</w:t>
            </w:r>
            <w:r w:rsidRPr="00AE35C2">
              <w:rPr>
                <w:rFonts w:eastAsia="Calibri"/>
                <w:sz w:val="22"/>
                <w:szCs w:val="22"/>
                <w:lang w:eastAsia="en-US"/>
              </w:rPr>
              <w:t>94</w:t>
            </w:r>
            <w:r w:rsidRPr="00AE35C2">
              <w:rPr>
                <w:rFonts w:eastAsia="Calibri"/>
                <w:sz w:val="22"/>
                <w:szCs w:val="22"/>
                <w:lang w:val="en-US" w:eastAsia="en-US"/>
              </w:rPr>
              <w:t>0</w:t>
            </w:r>
          </w:p>
        </w:tc>
      </w:tr>
      <w:tr w:rsidR="000C1B73" w:rsidRPr="00AE35C2" w14:paraId="01661C9E" w14:textId="77777777" w:rsidTr="007816B5">
        <w:trPr>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9BC1C" w14:textId="77777777" w:rsidR="000C1B73" w:rsidRPr="00AE35C2" w:rsidRDefault="000C1B73" w:rsidP="00570B99">
            <w:pPr>
              <w:spacing w:before="60" w:after="60" w:line="259" w:lineRule="auto"/>
              <w:jc w:val="both"/>
              <w:rPr>
                <w:rFonts w:eastAsia="Calibri"/>
                <w:sz w:val="22"/>
                <w:szCs w:val="22"/>
                <w:lang w:val="en-US" w:eastAsia="en-US"/>
              </w:rPr>
            </w:pPr>
            <w:r w:rsidRPr="00AE35C2">
              <w:rPr>
                <w:rFonts w:eastAsia="Calibri"/>
                <w:sz w:val="22"/>
                <w:szCs w:val="22"/>
                <w:lang w:val="en-US" w:eastAsia="en-US"/>
              </w:rPr>
              <w:t>ΕLPEDISON</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CE26C04"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tcPr>
          <w:p w14:paraId="4556D13C"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2EA5C75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6%</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28DCEE3C"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13%</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3EAC2BEB"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7%</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6E1DB215"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5,8%</w:t>
            </w:r>
          </w:p>
        </w:tc>
        <w:tc>
          <w:tcPr>
            <w:tcW w:w="1129" w:type="dxa"/>
            <w:tcBorders>
              <w:top w:val="nil"/>
              <w:left w:val="nil"/>
              <w:bottom w:val="single" w:sz="8" w:space="0" w:color="auto"/>
              <w:right w:val="single" w:sz="8" w:space="0" w:color="auto"/>
            </w:tcBorders>
          </w:tcPr>
          <w:p w14:paraId="0445B60F"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66</w:t>
            </w:r>
            <w:r w:rsidRPr="00AE35C2">
              <w:rPr>
                <w:rFonts w:eastAsia="Calibri"/>
                <w:sz w:val="22"/>
                <w:szCs w:val="22"/>
                <w:lang w:val="en-US" w:eastAsia="en-US"/>
              </w:rPr>
              <w:t>.</w:t>
            </w:r>
            <w:r w:rsidRPr="00AE35C2">
              <w:rPr>
                <w:rFonts w:eastAsia="Calibri"/>
                <w:sz w:val="22"/>
                <w:szCs w:val="22"/>
                <w:lang w:eastAsia="en-US"/>
              </w:rPr>
              <w:t>12</w:t>
            </w:r>
            <w:r w:rsidRPr="00AE35C2">
              <w:rPr>
                <w:rFonts w:eastAsia="Calibri"/>
                <w:sz w:val="22"/>
                <w:szCs w:val="22"/>
                <w:lang w:val="en-US" w:eastAsia="en-US"/>
              </w:rPr>
              <w:t>0</w:t>
            </w:r>
          </w:p>
        </w:tc>
      </w:tr>
      <w:tr w:rsidR="000C1B73" w:rsidRPr="00AE35C2" w14:paraId="1147C233" w14:textId="77777777" w:rsidTr="007816B5">
        <w:trPr>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49198" w14:textId="77777777" w:rsidR="000C1B73" w:rsidRPr="00AE35C2" w:rsidRDefault="000C1B73" w:rsidP="00570B99">
            <w:pPr>
              <w:spacing w:before="60" w:after="60" w:line="259" w:lineRule="auto"/>
              <w:jc w:val="both"/>
              <w:rPr>
                <w:rFonts w:eastAsia="Calibri"/>
                <w:sz w:val="22"/>
                <w:szCs w:val="22"/>
                <w:lang w:val="en-US" w:eastAsia="en-US"/>
              </w:rPr>
            </w:pPr>
            <w:r w:rsidRPr="00AE35C2">
              <w:rPr>
                <w:rFonts w:eastAsia="Calibri"/>
                <w:sz w:val="22"/>
                <w:szCs w:val="22"/>
                <w:lang w:val="en-US" w:eastAsia="en-US"/>
              </w:rPr>
              <w:t>HΡΩΝ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E3256E7"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tcPr>
          <w:p w14:paraId="2C3CA353"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2D5284F7"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51C3BB17"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5CED4682"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3%</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15B6CB50"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1,4%</w:t>
            </w:r>
          </w:p>
        </w:tc>
        <w:tc>
          <w:tcPr>
            <w:tcW w:w="1129" w:type="dxa"/>
            <w:tcBorders>
              <w:top w:val="nil"/>
              <w:left w:val="nil"/>
              <w:bottom w:val="single" w:sz="8" w:space="0" w:color="auto"/>
              <w:right w:val="single" w:sz="8" w:space="0" w:color="auto"/>
            </w:tcBorders>
          </w:tcPr>
          <w:p w14:paraId="20A266A0"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15</w:t>
            </w:r>
            <w:r w:rsidRPr="00AE35C2">
              <w:rPr>
                <w:rFonts w:eastAsia="Calibri"/>
                <w:sz w:val="22"/>
                <w:szCs w:val="22"/>
                <w:lang w:val="en-US" w:eastAsia="en-US"/>
              </w:rPr>
              <w:t>.</w:t>
            </w:r>
            <w:r w:rsidRPr="00AE35C2">
              <w:rPr>
                <w:rFonts w:eastAsia="Calibri"/>
                <w:sz w:val="22"/>
                <w:szCs w:val="22"/>
                <w:lang w:eastAsia="en-US"/>
              </w:rPr>
              <w:t>96</w:t>
            </w:r>
            <w:r w:rsidRPr="00AE35C2">
              <w:rPr>
                <w:rFonts w:eastAsia="Calibri"/>
                <w:sz w:val="22"/>
                <w:szCs w:val="22"/>
                <w:lang w:val="en-US" w:eastAsia="en-US"/>
              </w:rPr>
              <w:t>0</w:t>
            </w:r>
          </w:p>
        </w:tc>
      </w:tr>
      <w:tr w:rsidR="000C1B73" w:rsidRPr="00AE35C2" w14:paraId="1634A8B6" w14:textId="77777777" w:rsidTr="007816B5">
        <w:trPr>
          <w:jc w:val="center"/>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1C93D" w14:textId="77777777" w:rsidR="000C1B73" w:rsidRPr="00AE35C2" w:rsidRDefault="000C1B73" w:rsidP="00570B99">
            <w:pPr>
              <w:spacing w:before="60" w:after="60" w:line="259" w:lineRule="auto"/>
              <w:jc w:val="both"/>
              <w:rPr>
                <w:rFonts w:eastAsia="Calibri"/>
                <w:sz w:val="22"/>
                <w:szCs w:val="22"/>
                <w:lang w:val="en-US" w:eastAsia="en-US"/>
              </w:rPr>
            </w:pPr>
            <w:r w:rsidRPr="00AE35C2">
              <w:rPr>
                <w:rFonts w:eastAsia="Calibri"/>
                <w:sz w:val="22"/>
                <w:szCs w:val="22"/>
                <w:lang w:val="en-US" w:eastAsia="en-US"/>
              </w:rPr>
              <w:t>ΔΕΗ</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EC1F12B"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tcPr>
          <w:p w14:paraId="314DC774" w14:textId="77777777" w:rsidR="000C1B73" w:rsidRPr="00AE35C2" w:rsidRDefault="000C1B73" w:rsidP="00570B99">
            <w:pPr>
              <w:spacing w:before="60" w:after="60" w:line="259" w:lineRule="auto"/>
              <w:jc w:val="center"/>
              <w:rPr>
                <w:rFonts w:eastAsia="Calibri"/>
                <w:sz w:val="22"/>
                <w:szCs w:val="22"/>
                <w:lang w:val="en-US" w:eastAsia="en-US"/>
              </w:rPr>
            </w:pP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14:paraId="0FE975E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4%</w:t>
            </w:r>
          </w:p>
        </w:tc>
        <w:tc>
          <w:tcPr>
            <w:tcW w:w="682" w:type="dxa"/>
            <w:tcBorders>
              <w:top w:val="nil"/>
              <w:left w:val="nil"/>
              <w:bottom w:val="single" w:sz="8" w:space="0" w:color="auto"/>
              <w:right w:val="single" w:sz="8" w:space="0" w:color="auto"/>
            </w:tcBorders>
            <w:tcMar>
              <w:top w:w="0" w:type="dxa"/>
              <w:left w:w="108" w:type="dxa"/>
              <w:bottom w:w="0" w:type="dxa"/>
              <w:right w:w="108" w:type="dxa"/>
            </w:tcMar>
            <w:hideMark/>
          </w:tcPr>
          <w:p w14:paraId="0A5CBA58"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226587E1"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5%</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14:paraId="2C1A8846"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val="en-US" w:eastAsia="en-US"/>
              </w:rPr>
              <w:t>2,6%</w:t>
            </w:r>
          </w:p>
        </w:tc>
        <w:tc>
          <w:tcPr>
            <w:tcW w:w="1129" w:type="dxa"/>
            <w:tcBorders>
              <w:top w:val="nil"/>
              <w:left w:val="nil"/>
              <w:bottom w:val="single" w:sz="8" w:space="0" w:color="auto"/>
              <w:right w:val="single" w:sz="8" w:space="0" w:color="auto"/>
            </w:tcBorders>
          </w:tcPr>
          <w:p w14:paraId="10EAAE7D" w14:textId="77777777" w:rsidR="000C1B73" w:rsidRPr="00AE35C2" w:rsidRDefault="000C1B73" w:rsidP="00570B99">
            <w:pPr>
              <w:spacing w:before="60" w:after="60" w:line="259" w:lineRule="auto"/>
              <w:jc w:val="center"/>
              <w:rPr>
                <w:rFonts w:eastAsia="Calibri"/>
                <w:sz w:val="22"/>
                <w:szCs w:val="22"/>
                <w:lang w:val="en-US" w:eastAsia="en-US"/>
              </w:rPr>
            </w:pPr>
            <w:r w:rsidRPr="00AE35C2">
              <w:rPr>
                <w:rFonts w:eastAsia="Calibri"/>
                <w:sz w:val="22"/>
                <w:szCs w:val="22"/>
                <w:lang w:eastAsia="en-US"/>
              </w:rPr>
              <w:t>29</w:t>
            </w:r>
            <w:r w:rsidRPr="00AE35C2">
              <w:rPr>
                <w:rFonts w:eastAsia="Calibri"/>
                <w:sz w:val="22"/>
                <w:szCs w:val="22"/>
                <w:lang w:val="en-US" w:eastAsia="en-US"/>
              </w:rPr>
              <w:t>.</w:t>
            </w:r>
            <w:r w:rsidRPr="00AE35C2">
              <w:rPr>
                <w:rFonts w:eastAsia="Calibri"/>
                <w:sz w:val="22"/>
                <w:szCs w:val="22"/>
                <w:lang w:eastAsia="en-US"/>
              </w:rPr>
              <w:t>64</w:t>
            </w:r>
            <w:r w:rsidRPr="00AE35C2">
              <w:rPr>
                <w:rFonts w:eastAsia="Calibri"/>
                <w:sz w:val="22"/>
                <w:szCs w:val="22"/>
                <w:lang w:val="en-US" w:eastAsia="en-US"/>
              </w:rPr>
              <w:t>0</w:t>
            </w:r>
          </w:p>
        </w:tc>
      </w:tr>
    </w:tbl>
    <w:p w14:paraId="7D39038A" w14:textId="77777777" w:rsidR="000C1B73" w:rsidRPr="00AE35C2" w:rsidRDefault="000C1B73" w:rsidP="00570B99">
      <w:pPr>
        <w:pStyle w:val="a7"/>
        <w:numPr>
          <w:ilvl w:val="0"/>
          <w:numId w:val="4"/>
        </w:numPr>
        <w:tabs>
          <w:tab w:val="left" w:pos="720"/>
        </w:tabs>
        <w:spacing w:before="120" w:after="120" w:line="276" w:lineRule="auto"/>
        <w:contextualSpacing w:val="0"/>
        <w:jc w:val="both"/>
        <w:rPr>
          <w:spacing w:val="-5"/>
        </w:rPr>
      </w:pPr>
      <w:r w:rsidRPr="00AE35C2">
        <w:lastRenderedPageBreak/>
        <w:t>Σ</w:t>
      </w:r>
      <w:r w:rsidRPr="00AE35C2">
        <w:rPr>
          <w:spacing w:val="-5"/>
        </w:rPr>
        <w:t xml:space="preserve">ύμφωνα με </w:t>
      </w:r>
      <w:proofErr w:type="spellStart"/>
      <w:r w:rsidRPr="00AE35C2">
        <w:rPr>
          <w:spacing w:val="-5"/>
        </w:rPr>
        <w:t>εγκριθέν</w:t>
      </w:r>
      <w:proofErr w:type="spellEnd"/>
      <w:r w:rsidRPr="00AE35C2">
        <w:rPr>
          <w:spacing w:val="-5"/>
        </w:rPr>
        <w:t xml:space="preserve"> Σχέδιο Προληπτικής Δράσης, προτάθηκαν οι παρακάτω τρεις πιθανές επιλογές για τη διαδικασία αποθήκευσης ΦΑ στην Ιταλία και απόληψη της ποσότητας μέσω του σημείου Νέα Μεσημβρία, μαζί με τα επιμέρους κόστη χρήσης υποδομών ΦΑ σε Ελλάδα και Ιταλία:</w:t>
      </w:r>
    </w:p>
    <w:p w14:paraId="0F49B288" w14:textId="77777777" w:rsidR="000C1B73" w:rsidRPr="00AE35C2" w:rsidRDefault="000C4DBA" w:rsidP="00570B99">
      <w:pPr>
        <w:tabs>
          <w:tab w:val="left" w:pos="284"/>
          <w:tab w:val="left" w:pos="426"/>
          <w:tab w:val="left" w:pos="720"/>
        </w:tabs>
        <w:suppressAutoHyphens/>
        <w:spacing w:before="120" w:after="120" w:line="276" w:lineRule="auto"/>
        <w:ind w:left="284"/>
        <w:jc w:val="both"/>
        <w:rPr>
          <w:b/>
          <w:bCs/>
          <w:spacing w:val="-5"/>
          <w:kern w:val="28"/>
          <w:u w:val="single"/>
          <w:lang w:eastAsia="en-US"/>
        </w:rPr>
      </w:pPr>
      <w:r w:rsidRPr="00AE35C2">
        <w:rPr>
          <w:b/>
          <w:bCs/>
          <w:spacing w:val="-5"/>
          <w:kern w:val="28"/>
          <w:u w:val="single"/>
          <w:lang w:eastAsia="en-US"/>
        </w:rPr>
        <w:t>-</w:t>
      </w:r>
      <w:r w:rsidR="000C1B73" w:rsidRPr="00AE35C2">
        <w:rPr>
          <w:b/>
          <w:bCs/>
          <w:spacing w:val="-5"/>
          <w:kern w:val="28"/>
          <w:u w:val="single"/>
          <w:lang w:eastAsia="en-US"/>
        </w:rPr>
        <w:t xml:space="preserve"> </w:t>
      </w:r>
      <w:r w:rsidR="000C1B73" w:rsidRPr="00AE35C2">
        <w:rPr>
          <w:spacing w:val="-5"/>
          <w:kern w:val="28"/>
          <w:u w:val="single"/>
          <w:lang w:eastAsia="en-US"/>
        </w:rPr>
        <w:t>Κόστος μεταφοράς ΦΑ προς Ιταλία</w:t>
      </w:r>
      <w:r w:rsidR="000C1B73" w:rsidRPr="00AE35C2">
        <w:rPr>
          <w:b/>
          <w:bCs/>
          <w:spacing w:val="-5"/>
          <w:kern w:val="28"/>
          <w:u w:val="single"/>
          <w:lang w:eastAsia="en-US"/>
        </w:rPr>
        <w:t xml:space="preserve">  </w:t>
      </w:r>
    </w:p>
    <w:p w14:paraId="1952C661" w14:textId="77777777" w:rsidR="000C1B73" w:rsidRPr="00AE35C2" w:rsidRDefault="000C1B73" w:rsidP="00570B99">
      <w:pPr>
        <w:pStyle w:val="a7"/>
        <w:tabs>
          <w:tab w:val="left" w:pos="720"/>
        </w:tabs>
        <w:spacing w:before="120" w:after="120" w:line="276" w:lineRule="auto"/>
        <w:ind w:left="360"/>
        <w:contextualSpacing w:val="0"/>
        <w:jc w:val="both"/>
        <w:rPr>
          <w:spacing w:val="-5"/>
        </w:rPr>
      </w:pPr>
      <w:r w:rsidRPr="00AE35C2">
        <w:rPr>
          <w:i/>
          <w:iCs/>
          <w:spacing w:val="-5"/>
        </w:rPr>
        <w:t>i. Περίπτωση Α</w:t>
      </w:r>
      <w:r w:rsidRPr="00AE35C2">
        <w:rPr>
          <w:spacing w:val="-5"/>
        </w:rPr>
        <w:t>: Μεταφορά αερίου από Ελλάδα προς Ιταλία. Το κόστος για τη μεταφορά ανέρχεται στα 9,05 €/</w:t>
      </w:r>
      <w:proofErr w:type="spellStart"/>
      <w:r w:rsidRPr="00AE35C2">
        <w:rPr>
          <w:spacing w:val="-5"/>
        </w:rPr>
        <w:t>MWh</w:t>
      </w:r>
      <w:proofErr w:type="spellEnd"/>
      <w:r w:rsidRPr="00AE35C2">
        <w:rPr>
          <w:spacing w:val="-5"/>
        </w:rPr>
        <w:t xml:space="preserve">, σύμφωνα με την ισχύουσα τιμολογιακή πολιτική των 3 εμπλεκόμενων Διαχειριστών, όπως προκύπτει από τον Πίνακα 4. </w:t>
      </w:r>
    </w:p>
    <w:p w14:paraId="179128D8" w14:textId="77777777" w:rsidR="000C1B73" w:rsidRPr="00AE35C2" w:rsidRDefault="000C1B73" w:rsidP="00570B99">
      <w:pPr>
        <w:tabs>
          <w:tab w:val="left" w:pos="720"/>
        </w:tabs>
        <w:suppressAutoHyphens/>
        <w:spacing w:before="120" w:after="120" w:line="276" w:lineRule="auto"/>
        <w:jc w:val="center"/>
        <w:rPr>
          <w:bCs/>
          <w:spacing w:val="-5"/>
          <w:sz w:val="22"/>
          <w:szCs w:val="22"/>
          <w:lang w:eastAsia="ar-SA"/>
        </w:rPr>
      </w:pPr>
      <w:bookmarkStart w:id="8" w:name="_Ref113887978"/>
      <w:r w:rsidRPr="00AE35C2">
        <w:rPr>
          <w:b/>
          <w:spacing w:val="-5"/>
          <w:sz w:val="22"/>
          <w:szCs w:val="22"/>
          <w:lang w:eastAsia="ar-SA"/>
        </w:rPr>
        <w:t>Πίνακας</w:t>
      </w:r>
      <w:bookmarkEnd w:id="8"/>
      <w:r w:rsidRPr="00AE35C2">
        <w:rPr>
          <w:b/>
          <w:spacing w:val="-5"/>
          <w:sz w:val="22"/>
          <w:szCs w:val="22"/>
          <w:lang w:eastAsia="ar-SA"/>
        </w:rPr>
        <w:t xml:space="preserve"> 4: </w:t>
      </w:r>
      <w:r w:rsidRPr="00AE35C2">
        <w:rPr>
          <w:bCs/>
          <w:spacing w:val="-5"/>
          <w:sz w:val="22"/>
          <w:szCs w:val="22"/>
          <w:lang w:eastAsia="ar-SA"/>
        </w:rPr>
        <w:t>Μεταφορικό κόστος φυσικού αερίου από Ελλάδα προς Ιταλία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688"/>
        <w:gridCol w:w="864"/>
        <w:gridCol w:w="1068"/>
        <w:gridCol w:w="1246"/>
      </w:tblGrid>
      <w:tr w:rsidR="000C1B73" w:rsidRPr="00AE35C2" w14:paraId="6BC12054" w14:textId="77777777" w:rsidTr="007816B5">
        <w:trPr>
          <w:trHeight w:val="486"/>
          <w:jc w:val="center"/>
        </w:trPr>
        <w:tc>
          <w:tcPr>
            <w:tcW w:w="2913" w:type="dxa"/>
            <w:shd w:val="clear" w:color="auto" w:fill="auto"/>
            <w:vAlign w:val="center"/>
          </w:tcPr>
          <w:p w14:paraId="36D8A363" w14:textId="77777777" w:rsidR="000C1B73" w:rsidRPr="00AE35C2" w:rsidRDefault="000C1B73" w:rsidP="00570B99">
            <w:pPr>
              <w:spacing w:after="160" w:line="259" w:lineRule="auto"/>
              <w:jc w:val="center"/>
              <w:rPr>
                <w:rFonts w:eastAsia="Calibri"/>
                <w:b/>
                <w:bCs/>
                <w:sz w:val="22"/>
                <w:szCs w:val="22"/>
                <w:lang w:eastAsia="en-US"/>
              </w:rPr>
            </w:pPr>
            <w:r w:rsidRPr="00AE35C2">
              <w:rPr>
                <w:rFonts w:eastAsia="Calibri"/>
                <w:b/>
                <w:bCs/>
                <w:sz w:val="22"/>
                <w:szCs w:val="22"/>
                <w:lang w:eastAsia="en-US"/>
              </w:rPr>
              <w:t>Ταρίφες μεταφοράς προς την Ιταλία</w:t>
            </w:r>
          </w:p>
        </w:tc>
        <w:tc>
          <w:tcPr>
            <w:tcW w:w="1688" w:type="dxa"/>
            <w:shd w:val="clear" w:color="auto" w:fill="auto"/>
            <w:vAlign w:val="center"/>
          </w:tcPr>
          <w:p w14:paraId="3000DA4B" w14:textId="77777777" w:rsidR="000C1B73" w:rsidRPr="00AE35C2" w:rsidRDefault="000C1B73" w:rsidP="00570B99">
            <w:pPr>
              <w:spacing w:after="160" w:line="259" w:lineRule="auto"/>
              <w:jc w:val="center"/>
              <w:rPr>
                <w:rFonts w:eastAsia="Calibri"/>
                <w:b/>
                <w:bCs/>
                <w:sz w:val="22"/>
                <w:szCs w:val="22"/>
                <w:lang w:eastAsia="en-US"/>
              </w:rPr>
            </w:pPr>
            <w:r w:rsidRPr="00AE35C2">
              <w:rPr>
                <w:rFonts w:eastAsia="Calibri"/>
                <w:b/>
                <w:bCs/>
                <w:sz w:val="22"/>
                <w:szCs w:val="22"/>
                <w:lang w:eastAsia="en-US"/>
              </w:rPr>
              <w:t>Τύπος Δυναμικότητας</w:t>
            </w:r>
          </w:p>
        </w:tc>
        <w:tc>
          <w:tcPr>
            <w:tcW w:w="864" w:type="dxa"/>
            <w:shd w:val="clear" w:color="auto" w:fill="auto"/>
            <w:vAlign w:val="center"/>
          </w:tcPr>
          <w:p w14:paraId="2BC3341B" w14:textId="77777777" w:rsidR="000C1B73" w:rsidRPr="00AE35C2" w:rsidRDefault="000C1B73" w:rsidP="00570B99">
            <w:pPr>
              <w:spacing w:after="160" w:line="259" w:lineRule="auto"/>
              <w:jc w:val="center"/>
              <w:rPr>
                <w:rFonts w:eastAsia="Calibri"/>
                <w:b/>
                <w:bCs/>
                <w:sz w:val="22"/>
                <w:szCs w:val="22"/>
                <w:lang w:eastAsia="en-US"/>
              </w:rPr>
            </w:pPr>
          </w:p>
        </w:tc>
        <w:tc>
          <w:tcPr>
            <w:tcW w:w="1068" w:type="dxa"/>
            <w:shd w:val="clear" w:color="auto" w:fill="auto"/>
            <w:vAlign w:val="center"/>
          </w:tcPr>
          <w:p w14:paraId="7AB2C6DF" w14:textId="77777777" w:rsidR="000C1B73" w:rsidRPr="00AE35C2" w:rsidRDefault="000C1B73" w:rsidP="00570B99">
            <w:pPr>
              <w:spacing w:after="160" w:line="259" w:lineRule="auto"/>
              <w:jc w:val="center"/>
              <w:rPr>
                <w:rFonts w:eastAsia="Calibri"/>
                <w:b/>
                <w:bCs/>
                <w:sz w:val="22"/>
                <w:szCs w:val="22"/>
                <w:lang w:eastAsia="en-US"/>
              </w:rPr>
            </w:pPr>
            <w:r w:rsidRPr="00AE35C2">
              <w:rPr>
                <w:rFonts w:eastAsia="Calibri"/>
                <w:b/>
                <w:bCs/>
                <w:sz w:val="22"/>
                <w:szCs w:val="22"/>
                <w:lang w:eastAsia="en-US"/>
              </w:rPr>
              <w:t>€/</w:t>
            </w:r>
            <w:r w:rsidRPr="00AE35C2">
              <w:rPr>
                <w:rFonts w:eastAsia="Calibri"/>
                <w:b/>
                <w:bCs/>
                <w:sz w:val="22"/>
                <w:szCs w:val="22"/>
                <w:lang w:val="en-US" w:eastAsia="en-US"/>
              </w:rPr>
              <w:t>MWh</w:t>
            </w:r>
          </w:p>
        </w:tc>
        <w:tc>
          <w:tcPr>
            <w:tcW w:w="1246" w:type="dxa"/>
            <w:shd w:val="clear" w:color="auto" w:fill="auto"/>
            <w:vAlign w:val="center"/>
          </w:tcPr>
          <w:p w14:paraId="37845BC3" w14:textId="77777777" w:rsidR="000C1B73" w:rsidRPr="00AE35C2" w:rsidRDefault="000C1B73" w:rsidP="00570B99">
            <w:pPr>
              <w:spacing w:after="160" w:line="259" w:lineRule="auto"/>
              <w:jc w:val="center"/>
              <w:rPr>
                <w:rFonts w:eastAsia="Calibri"/>
                <w:b/>
                <w:bCs/>
                <w:sz w:val="22"/>
                <w:szCs w:val="22"/>
                <w:lang w:eastAsia="en-US"/>
              </w:rPr>
            </w:pPr>
            <w:r w:rsidRPr="00AE35C2">
              <w:rPr>
                <w:rFonts w:eastAsia="Calibri"/>
                <w:b/>
                <w:bCs/>
                <w:sz w:val="22"/>
                <w:szCs w:val="22"/>
                <w:lang w:eastAsia="en-US"/>
              </w:rPr>
              <w:t>€/</w:t>
            </w:r>
            <w:r w:rsidRPr="00AE35C2">
              <w:rPr>
                <w:rFonts w:eastAsia="Calibri"/>
                <w:b/>
                <w:bCs/>
                <w:sz w:val="22"/>
                <w:szCs w:val="22"/>
                <w:lang w:val="en-US" w:eastAsia="en-US"/>
              </w:rPr>
              <w:t>MWh (</w:t>
            </w:r>
            <w:r w:rsidRPr="00AE35C2">
              <w:rPr>
                <w:rFonts w:eastAsia="Calibri"/>
                <w:b/>
                <w:bCs/>
                <w:sz w:val="22"/>
                <w:szCs w:val="22"/>
                <w:lang w:eastAsia="en-US"/>
              </w:rPr>
              <w:t>Σύνολο)</w:t>
            </w:r>
          </w:p>
        </w:tc>
      </w:tr>
      <w:tr w:rsidR="000C1B73" w:rsidRPr="00AE35C2" w14:paraId="204996AA" w14:textId="77777777" w:rsidTr="007816B5">
        <w:trPr>
          <w:trHeight w:val="486"/>
          <w:jc w:val="center"/>
        </w:trPr>
        <w:tc>
          <w:tcPr>
            <w:tcW w:w="2913" w:type="dxa"/>
            <w:shd w:val="clear" w:color="auto" w:fill="auto"/>
            <w:vAlign w:val="center"/>
          </w:tcPr>
          <w:p w14:paraId="6B022435" w14:textId="77777777" w:rsidR="000C1B73" w:rsidRPr="00AE35C2" w:rsidRDefault="000C1B73" w:rsidP="00570B99">
            <w:pPr>
              <w:spacing w:after="160" w:line="259" w:lineRule="auto"/>
              <w:jc w:val="both"/>
              <w:rPr>
                <w:rFonts w:eastAsia="Calibri"/>
                <w:sz w:val="22"/>
                <w:szCs w:val="22"/>
                <w:lang w:eastAsia="en-US"/>
              </w:rPr>
            </w:pPr>
            <w:r w:rsidRPr="00AE35C2">
              <w:rPr>
                <w:rFonts w:eastAsia="Calibri"/>
                <w:sz w:val="22"/>
                <w:szCs w:val="22"/>
                <w:lang w:eastAsia="en-US"/>
              </w:rPr>
              <w:t>Έξοδος Νέα Μεσημβρία</w:t>
            </w:r>
            <w:r w:rsidRPr="00AE35C2">
              <w:rPr>
                <w:rFonts w:eastAsia="Calibri"/>
                <w:sz w:val="22"/>
                <w:szCs w:val="22"/>
                <w:lang w:val="en-US" w:eastAsia="en-US"/>
              </w:rPr>
              <w:t xml:space="preserve"> (</w:t>
            </w:r>
            <w:r w:rsidRPr="00AE35C2">
              <w:rPr>
                <w:rFonts w:eastAsia="Calibri"/>
                <w:sz w:val="22"/>
                <w:szCs w:val="22"/>
                <w:lang w:eastAsia="en-US"/>
              </w:rPr>
              <w:t>ΔΕΣΦΑ)</w:t>
            </w:r>
          </w:p>
        </w:tc>
        <w:tc>
          <w:tcPr>
            <w:tcW w:w="1688" w:type="dxa"/>
            <w:shd w:val="clear" w:color="auto" w:fill="auto"/>
            <w:vAlign w:val="center"/>
          </w:tcPr>
          <w:p w14:paraId="4C340275"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Interruptible</w:t>
            </w:r>
          </w:p>
        </w:tc>
        <w:tc>
          <w:tcPr>
            <w:tcW w:w="864" w:type="dxa"/>
            <w:shd w:val="clear" w:color="auto" w:fill="auto"/>
          </w:tcPr>
          <w:p w14:paraId="024F306E" w14:textId="77777777" w:rsidR="000C1B73" w:rsidRPr="00AE35C2" w:rsidRDefault="000C1B73" w:rsidP="00570B99">
            <w:pPr>
              <w:spacing w:after="160" w:line="259" w:lineRule="auto"/>
              <w:jc w:val="center"/>
              <w:rPr>
                <w:rFonts w:eastAsia="Calibri"/>
                <w:sz w:val="22"/>
                <w:szCs w:val="22"/>
                <w:lang w:val="en-US" w:eastAsia="en-US"/>
              </w:rPr>
            </w:pPr>
          </w:p>
        </w:tc>
        <w:tc>
          <w:tcPr>
            <w:tcW w:w="1068" w:type="dxa"/>
            <w:shd w:val="clear" w:color="auto" w:fill="auto"/>
            <w:vAlign w:val="center"/>
          </w:tcPr>
          <w:p w14:paraId="33018AFB"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1</w:t>
            </w:r>
            <w:r w:rsidRPr="00AE35C2">
              <w:rPr>
                <w:rFonts w:eastAsia="Calibri"/>
                <w:sz w:val="22"/>
                <w:szCs w:val="22"/>
                <w:lang w:eastAsia="en-US"/>
              </w:rPr>
              <w:t>,</w:t>
            </w:r>
            <w:r w:rsidRPr="00AE35C2">
              <w:rPr>
                <w:rFonts w:eastAsia="Calibri"/>
                <w:sz w:val="22"/>
                <w:szCs w:val="22"/>
                <w:lang w:val="en-US" w:eastAsia="en-US"/>
              </w:rPr>
              <w:t>34</w:t>
            </w:r>
          </w:p>
        </w:tc>
        <w:tc>
          <w:tcPr>
            <w:tcW w:w="1246" w:type="dxa"/>
            <w:vMerge w:val="restart"/>
            <w:shd w:val="clear" w:color="auto" w:fill="auto"/>
            <w:vAlign w:val="center"/>
          </w:tcPr>
          <w:p w14:paraId="5D3DA0AB" w14:textId="77777777" w:rsidR="000C1B73" w:rsidRPr="00AE35C2" w:rsidRDefault="000C1B73" w:rsidP="00570B99">
            <w:pPr>
              <w:spacing w:after="160" w:line="259" w:lineRule="auto"/>
              <w:jc w:val="center"/>
              <w:rPr>
                <w:rFonts w:eastAsia="Calibri"/>
                <w:sz w:val="22"/>
                <w:szCs w:val="22"/>
                <w:lang w:eastAsia="en-US"/>
              </w:rPr>
            </w:pPr>
            <w:r w:rsidRPr="00AE35C2">
              <w:rPr>
                <w:rFonts w:eastAsia="Calibri"/>
                <w:sz w:val="22"/>
                <w:szCs w:val="22"/>
                <w:lang w:eastAsia="en-US"/>
              </w:rPr>
              <w:t>9,05</w:t>
            </w:r>
          </w:p>
        </w:tc>
      </w:tr>
      <w:tr w:rsidR="000C1B73" w:rsidRPr="00AE35C2" w14:paraId="7D57EA78" w14:textId="77777777" w:rsidTr="007816B5">
        <w:trPr>
          <w:trHeight w:val="486"/>
          <w:jc w:val="center"/>
        </w:trPr>
        <w:tc>
          <w:tcPr>
            <w:tcW w:w="2913" w:type="dxa"/>
            <w:shd w:val="clear" w:color="auto" w:fill="auto"/>
            <w:vAlign w:val="center"/>
          </w:tcPr>
          <w:p w14:paraId="4225C9BB" w14:textId="77777777" w:rsidR="000C1B73" w:rsidRPr="00AE35C2" w:rsidRDefault="000C1B73" w:rsidP="00570B99">
            <w:pPr>
              <w:spacing w:after="160" w:line="259" w:lineRule="auto"/>
              <w:jc w:val="both"/>
              <w:rPr>
                <w:rFonts w:eastAsia="Calibri"/>
                <w:sz w:val="22"/>
                <w:szCs w:val="22"/>
                <w:lang w:eastAsia="en-US"/>
              </w:rPr>
            </w:pPr>
            <w:r w:rsidRPr="00AE35C2">
              <w:rPr>
                <w:rFonts w:eastAsia="Calibri"/>
                <w:sz w:val="22"/>
                <w:szCs w:val="22"/>
                <w:lang w:eastAsia="en-US"/>
              </w:rPr>
              <w:t>Είσοδος Νέα Μεσημβρία (</w:t>
            </w:r>
            <w:r w:rsidRPr="00AE35C2">
              <w:rPr>
                <w:rFonts w:eastAsia="Calibri"/>
                <w:sz w:val="22"/>
                <w:szCs w:val="22"/>
                <w:lang w:val="en-US" w:eastAsia="en-US"/>
              </w:rPr>
              <w:t>TAP</w:t>
            </w:r>
            <w:r w:rsidRPr="00AE35C2">
              <w:rPr>
                <w:rFonts w:eastAsia="Calibri"/>
                <w:sz w:val="22"/>
                <w:szCs w:val="22"/>
                <w:lang w:eastAsia="en-US"/>
              </w:rPr>
              <w:t>)</w:t>
            </w:r>
          </w:p>
        </w:tc>
        <w:tc>
          <w:tcPr>
            <w:tcW w:w="1688" w:type="dxa"/>
            <w:shd w:val="clear" w:color="auto" w:fill="auto"/>
            <w:vAlign w:val="center"/>
          </w:tcPr>
          <w:p w14:paraId="3EB8D9D5"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Interruptible</w:t>
            </w:r>
          </w:p>
        </w:tc>
        <w:tc>
          <w:tcPr>
            <w:tcW w:w="864" w:type="dxa"/>
            <w:shd w:val="clear" w:color="auto" w:fill="auto"/>
          </w:tcPr>
          <w:p w14:paraId="5489A47B" w14:textId="77777777" w:rsidR="000C1B73" w:rsidRPr="00AE35C2" w:rsidRDefault="000C1B73" w:rsidP="00570B99">
            <w:pPr>
              <w:spacing w:after="160" w:line="259" w:lineRule="auto"/>
              <w:jc w:val="center"/>
              <w:rPr>
                <w:rFonts w:eastAsia="Calibri"/>
                <w:sz w:val="22"/>
                <w:szCs w:val="22"/>
                <w:lang w:val="en-US" w:eastAsia="en-US"/>
              </w:rPr>
            </w:pPr>
          </w:p>
        </w:tc>
        <w:tc>
          <w:tcPr>
            <w:tcW w:w="1068" w:type="dxa"/>
            <w:shd w:val="clear" w:color="auto" w:fill="auto"/>
            <w:vAlign w:val="center"/>
          </w:tcPr>
          <w:p w14:paraId="3F77F64C"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2</w:t>
            </w:r>
            <w:r w:rsidRPr="00AE35C2">
              <w:rPr>
                <w:rFonts w:eastAsia="Calibri"/>
                <w:sz w:val="22"/>
                <w:szCs w:val="22"/>
                <w:lang w:eastAsia="en-US"/>
              </w:rPr>
              <w:t>,</w:t>
            </w:r>
            <w:r w:rsidRPr="00AE35C2">
              <w:rPr>
                <w:rFonts w:eastAsia="Calibri"/>
                <w:sz w:val="22"/>
                <w:szCs w:val="22"/>
                <w:lang w:val="en-US" w:eastAsia="en-US"/>
              </w:rPr>
              <w:t>06</w:t>
            </w:r>
          </w:p>
        </w:tc>
        <w:tc>
          <w:tcPr>
            <w:tcW w:w="1246" w:type="dxa"/>
            <w:vMerge/>
            <w:shd w:val="clear" w:color="auto" w:fill="auto"/>
          </w:tcPr>
          <w:p w14:paraId="7830A5DC" w14:textId="77777777" w:rsidR="000C1B73" w:rsidRPr="00AE35C2" w:rsidRDefault="000C1B73" w:rsidP="00570B99">
            <w:pPr>
              <w:spacing w:after="160" w:line="259" w:lineRule="auto"/>
              <w:jc w:val="both"/>
              <w:rPr>
                <w:rFonts w:eastAsia="Calibri"/>
                <w:sz w:val="22"/>
                <w:szCs w:val="22"/>
                <w:lang w:eastAsia="en-US"/>
              </w:rPr>
            </w:pPr>
          </w:p>
        </w:tc>
      </w:tr>
      <w:tr w:rsidR="000C1B73" w:rsidRPr="00AE35C2" w14:paraId="6AEF6993" w14:textId="77777777" w:rsidTr="007816B5">
        <w:trPr>
          <w:trHeight w:val="729"/>
          <w:jc w:val="center"/>
        </w:trPr>
        <w:tc>
          <w:tcPr>
            <w:tcW w:w="2913" w:type="dxa"/>
            <w:shd w:val="clear" w:color="auto" w:fill="auto"/>
            <w:vAlign w:val="center"/>
          </w:tcPr>
          <w:p w14:paraId="30CB000C" w14:textId="77777777" w:rsidR="000C1B73" w:rsidRPr="00AE35C2" w:rsidRDefault="000C1B73" w:rsidP="00570B99">
            <w:pPr>
              <w:spacing w:after="160" w:line="259" w:lineRule="auto"/>
              <w:rPr>
                <w:rFonts w:eastAsia="Calibri"/>
                <w:sz w:val="22"/>
                <w:szCs w:val="22"/>
                <w:lang w:eastAsia="en-US"/>
              </w:rPr>
            </w:pPr>
            <w:r w:rsidRPr="00AE35C2">
              <w:rPr>
                <w:rFonts w:eastAsia="Calibri"/>
                <w:sz w:val="22"/>
                <w:szCs w:val="22"/>
                <w:lang w:eastAsia="en-US"/>
              </w:rPr>
              <w:t xml:space="preserve">Έξοδος/Είσοδος </w:t>
            </w:r>
            <w:proofErr w:type="spellStart"/>
            <w:r w:rsidRPr="00AE35C2">
              <w:rPr>
                <w:rFonts w:eastAsia="Calibri"/>
                <w:sz w:val="22"/>
                <w:szCs w:val="22"/>
                <w:lang w:val="en-US" w:eastAsia="en-US"/>
              </w:rPr>
              <w:t>Melendugno</w:t>
            </w:r>
            <w:proofErr w:type="spellEnd"/>
            <w:r w:rsidRPr="00AE35C2">
              <w:rPr>
                <w:rFonts w:eastAsia="Calibri"/>
                <w:sz w:val="22"/>
                <w:szCs w:val="22"/>
                <w:lang w:eastAsia="en-US"/>
              </w:rPr>
              <w:t xml:space="preserve"> (</w:t>
            </w:r>
            <w:r w:rsidRPr="00AE35C2">
              <w:rPr>
                <w:rFonts w:eastAsia="Calibri"/>
                <w:sz w:val="22"/>
                <w:szCs w:val="22"/>
                <w:lang w:val="en-US" w:eastAsia="en-US"/>
              </w:rPr>
              <w:t>TAP</w:t>
            </w:r>
            <w:r w:rsidRPr="00AE35C2">
              <w:rPr>
                <w:rFonts w:eastAsia="Calibri"/>
                <w:sz w:val="22"/>
                <w:szCs w:val="22"/>
                <w:lang w:eastAsia="en-US"/>
              </w:rPr>
              <w:t>/</w:t>
            </w:r>
            <w:r w:rsidRPr="00AE35C2">
              <w:rPr>
                <w:rFonts w:eastAsia="Calibri"/>
                <w:sz w:val="22"/>
                <w:szCs w:val="22"/>
                <w:lang w:val="en-US" w:eastAsia="en-US"/>
              </w:rPr>
              <w:t>SNAM</w:t>
            </w:r>
            <w:r w:rsidRPr="00AE35C2">
              <w:rPr>
                <w:rFonts w:eastAsia="Calibri"/>
                <w:sz w:val="22"/>
                <w:szCs w:val="22"/>
                <w:lang w:eastAsia="en-US"/>
              </w:rPr>
              <w:t>)</w:t>
            </w:r>
          </w:p>
        </w:tc>
        <w:tc>
          <w:tcPr>
            <w:tcW w:w="1688" w:type="dxa"/>
            <w:shd w:val="clear" w:color="auto" w:fill="auto"/>
            <w:vAlign w:val="center"/>
          </w:tcPr>
          <w:p w14:paraId="76CD88F9"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Firm</w:t>
            </w:r>
          </w:p>
        </w:tc>
        <w:tc>
          <w:tcPr>
            <w:tcW w:w="864" w:type="dxa"/>
            <w:shd w:val="clear" w:color="auto" w:fill="auto"/>
          </w:tcPr>
          <w:p w14:paraId="460CB6A3" w14:textId="77777777" w:rsidR="000C1B73" w:rsidRPr="00AE35C2" w:rsidRDefault="000C1B73" w:rsidP="00570B99">
            <w:pPr>
              <w:spacing w:after="160" w:line="259" w:lineRule="auto"/>
              <w:jc w:val="center"/>
              <w:rPr>
                <w:rFonts w:eastAsia="Calibri"/>
                <w:sz w:val="22"/>
                <w:szCs w:val="22"/>
                <w:lang w:val="en-US" w:eastAsia="en-US"/>
              </w:rPr>
            </w:pPr>
          </w:p>
        </w:tc>
        <w:tc>
          <w:tcPr>
            <w:tcW w:w="1068" w:type="dxa"/>
            <w:shd w:val="clear" w:color="auto" w:fill="auto"/>
            <w:vAlign w:val="center"/>
          </w:tcPr>
          <w:p w14:paraId="70C7608E" w14:textId="77777777" w:rsidR="000C1B73" w:rsidRPr="00AE35C2" w:rsidRDefault="000C1B73" w:rsidP="00570B99">
            <w:pPr>
              <w:spacing w:after="160" w:line="259" w:lineRule="auto"/>
              <w:jc w:val="center"/>
              <w:rPr>
                <w:rFonts w:eastAsia="Calibri"/>
                <w:sz w:val="22"/>
                <w:szCs w:val="22"/>
                <w:lang w:val="en-US" w:eastAsia="en-US"/>
              </w:rPr>
            </w:pPr>
            <w:r w:rsidRPr="00AE35C2">
              <w:rPr>
                <w:rFonts w:eastAsia="Calibri"/>
                <w:sz w:val="22"/>
                <w:szCs w:val="22"/>
                <w:lang w:val="en-US" w:eastAsia="en-US"/>
              </w:rPr>
              <w:t>5</w:t>
            </w:r>
            <w:r w:rsidRPr="00AE35C2">
              <w:rPr>
                <w:rFonts w:eastAsia="Calibri"/>
                <w:sz w:val="22"/>
                <w:szCs w:val="22"/>
                <w:lang w:eastAsia="en-US"/>
              </w:rPr>
              <w:t>,</w:t>
            </w:r>
            <w:r w:rsidRPr="00AE35C2">
              <w:rPr>
                <w:rFonts w:eastAsia="Calibri"/>
                <w:sz w:val="22"/>
                <w:szCs w:val="22"/>
                <w:lang w:val="en-US" w:eastAsia="en-US"/>
              </w:rPr>
              <w:t>650</w:t>
            </w:r>
          </w:p>
        </w:tc>
        <w:tc>
          <w:tcPr>
            <w:tcW w:w="1246" w:type="dxa"/>
            <w:vMerge/>
            <w:shd w:val="clear" w:color="auto" w:fill="auto"/>
          </w:tcPr>
          <w:p w14:paraId="2BD02385" w14:textId="77777777" w:rsidR="000C1B73" w:rsidRPr="00AE35C2" w:rsidRDefault="000C1B73" w:rsidP="00570B99">
            <w:pPr>
              <w:keepNext/>
              <w:spacing w:after="160" w:line="259" w:lineRule="auto"/>
              <w:jc w:val="both"/>
              <w:rPr>
                <w:rFonts w:eastAsia="Calibri"/>
                <w:sz w:val="22"/>
                <w:szCs w:val="22"/>
                <w:lang w:eastAsia="en-US"/>
              </w:rPr>
            </w:pPr>
          </w:p>
        </w:tc>
      </w:tr>
    </w:tbl>
    <w:p w14:paraId="7DB21872" w14:textId="77777777" w:rsidR="000C1B73"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proofErr w:type="spellStart"/>
      <w:r w:rsidRPr="00AE35C2">
        <w:rPr>
          <w:i/>
          <w:iCs/>
          <w:spacing w:val="-5"/>
          <w:kern w:val="28"/>
          <w:lang w:eastAsia="en-US"/>
        </w:rPr>
        <w:t>ii</w:t>
      </w:r>
      <w:proofErr w:type="spellEnd"/>
      <w:r w:rsidRPr="00AE35C2">
        <w:rPr>
          <w:i/>
          <w:iCs/>
          <w:spacing w:val="-5"/>
          <w:kern w:val="28"/>
          <w:lang w:eastAsia="en-US"/>
        </w:rPr>
        <w:t>. Περίπτωση Β</w:t>
      </w:r>
      <w:r w:rsidRPr="00AE35C2">
        <w:rPr>
          <w:spacing w:val="-5"/>
          <w:kern w:val="28"/>
          <w:lang w:eastAsia="en-US"/>
        </w:rPr>
        <w:t>: Εκφόρτωση πλοίου LNG σε τερματικό σταθμό ΥΦΑ της Ιταλίας. Το κόστος χρήσης της εγκατάστασης LNG της Ιταλίας για αεριοποίηση είναι 1,15 €/</w:t>
      </w:r>
      <w:proofErr w:type="spellStart"/>
      <w:r w:rsidRPr="00AE35C2">
        <w:rPr>
          <w:spacing w:val="-5"/>
          <w:kern w:val="28"/>
          <w:lang w:eastAsia="en-US"/>
        </w:rPr>
        <w:t>MWh</w:t>
      </w:r>
      <w:proofErr w:type="spellEnd"/>
      <w:r w:rsidRPr="00AE35C2">
        <w:rPr>
          <w:spacing w:val="-5"/>
          <w:kern w:val="28"/>
          <w:lang w:eastAsia="en-US"/>
        </w:rPr>
        <w:t xml:space="preserve">. </w:t>
      </w:r>
    </w:p>
    <w:p w14:paraId="3460CAEC" w14:textId="77777777" w:rsidR="000C1B73"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proofErr w:type="spellStart"/>
      <w:r w:rsidRPr="00AE35C2">
        <w:rPr>
          <w:i/>
          <w:iCs/>
          <w:spacing w:val="-5"/>
          <w:kern w:val="28"/>
          <w:lang w:eastAsia="en-US"/>
        </w:rPr>
        <w:t>iii</w:t>
      </w:r>
      <w:proofErr w:type="spellEnd"/>
      <w:r w:rsidRPr="00AE35C2">
        <w:rPr>
          <w:i/>
          <w:iCs/>
          <w:spacing w:val="-5"/>
          <w:kern w:val="28"/>
          <w:lang w:eastAsia="en-US"/>
        </w:rPr>
        <w:t>. Περίπτωση Γ</w:t>
      </w:r>
      <w:r w:rsidRPr="00AE35C2">
        <w:rPr>
          <w:spacing w:val="-5"/>
          <w:kern w:val="28"/>
          <w:lang w:eastAsia="en-US"/>
        </w:rPr>
        <w:t xml:space="preserve">: Προμήθεια φυσικού αερίου από την αγορά της Ιταλίας (PSV ή διμερές συμβόλαιο). Μηδενικό κόστος μεταφοράς. </w:t>
      </w:r>
    </w:p>
    <w:p w14:paraId="00557CCE" w14:textId="77777777" w:rsidR="000C1B73"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r w:rsidRPr="00AE35C2">
        <w:rPr>
          <w:spacing w:val="-5"/>
          <w:kern w:val="28"/>
          <w:u w:val="single"/>
          <w:lang w:eastAsia="en-US"/>
        </w:rPr>
        <w:t xml:space="preserve">Το κόστος στην περίπτωση Α προϋπολογίζεται στα </w:t>
      </w:r>
      <w:r w:rsidRPr="00AE35C2">
        <w:rPr>
          <w:b/>
          <w:bCs/>
          <w:spacing w:val="-5"/>
          <w:kern w:val="28"/>
          <w:u w:val="single"/>
          <w:lang w:eastAsia="en-US"/>
        </w:rPr>
        <w:t>10,32 εκ. €</w:t>
      </w:r>
      <w:r w:rsidRPr="00AE35C2">
        <w:rPr>
          <w:spacing w:val="-5"/>
          <w:kern w:val="28"/>
          <w:u w:val="single"/>
          <w:lang w:eastAsia="en-US"/>
        </w:rPr>
        <w:t xml:space="preserve">, έναντι </w:t>
      </w:r>
      <w:r w:rsidRPr="00AE35C2">
        <w:rPr>
          <w:b/>
          <w:bCs/>
          <w:spacing w:val="-5"/>
          <w:kern w:val="28"/>
          <w:u w:val="single"/>
          <w:lang w:eastAsia="en-US"/>
        </w:rPr>
        <w:t>1,31 εκ. €</w:t>
      </w:r>
      <w:r w:rsidRPr="00AE35C2">
        <w:rPr>
          <w:spacing w:val="-5"/>
          <w:kern w:val="28"/>
          <w:u w:val="single"/>
          <w:lang w:eastAsia="en-US"/>
        </w:rPr>
        <w:t xml:space="preserve"> στην περίπτωση Β και </w:t>
      </w:r>
      <w:r w:rsidRPr="00AE35C2">
        <w:rPr>
          <w:b/>
          <w:bCs/>
          <w:spacing w:val="-5"/>
          <w:kern w:val="28"/>
          <w:u w:val="single"/>
          <w:lang w:eastAsia="en-US"/>
        </w:rPr>
        <w:t>μηδενικό κόστος</w:t>
      </w:r>
      <w:r w:rsidRPr="00AE35C2">
        <w:rPr>
          <w:spacing w:val="-5"/>
          <w:kern w:val="28"/>
          <w:u w:val="single"/>
          <w:lang w:eastAsia="en-US"/>
        </w:rPr>
        <w:t xml:space="preserve"> στην περίπτωση Γ</w:t>
      </w:r>
      <w:r w:rsidRPr="00AE35C2">
        <w:rPr>
          <w:spacing w:val="-5"/>
          <w:kern w:val="28"/>
          <w:lang w:eastAsia="en-US"/>
        </w:rPr>
        <w:t>.</w:t>
      </w:r>
    </w:p>
    <w:p w14:paraId="6AA19FBC" w14:textId="77777777" w:rsidR="000C1B73" w:rsidRPr="00AE35C2" w:rsidRDefault="000C4DBA" w:rsidP="00570B99">
      <w:pPr>
        <w:tabs>
          <w:tab w:val="left" w:pos="284"/>
          <w:tab w:val="left" w:pos="426"/>
          <w:tab w:val="left" w:pos="720"/>
        </w:tabs>
        <w:suppressAutoHyphens/>
        <w:spacing w:before="120" w:after="120" w:line="276" w:lineRule="auto"/>
        <w:ind w:left="284"/>
        <w:jc w:val="both"/>
        <w:rPr>
          <w:spacing w:val="-5"/>
          <w:kern w:val="28"/>
          <w:u w:val="single"/>
          <w:lang w:eastAsia="en-US"/>
        </w:rPr>
      </w:pPr>
      <w:r w:rsidRPr="00AE35C2">
        <w:rPr>
          <w:b/>
          <w:bCs/>
          <w:spacing w:val="-5"/>
          <w:kern w:val="28"/>
          <w:u w:val="single"/>
          <w:lang w:eastAsia="en-US"/>
        </w:rPr>
        <w:t>-</w:t>
      </w:r>
      <w:r w:rsidR="000C1B73" w:rsidRPr="00AE35C2">
        <w:rPr>
          <w:spacing w:val="-5"/>
          <w:kern w:val="28"/>
          <w:u w:val="single"/>
          <w:lang w:eastAsia="en-US"/>
        </w:rPr>
        <w:t xml:space="preserve"> Κόστος χρήσης υπόγειας αποθήκης της Ιταλίας</w:t>
      </w:r>
    </w:p>
    <w:p w14:paraId="5579D247" w14:textId="77777777" w:rsidR="000C1B73"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r w:rsidRPr="00AE35C2">
        <w:rPr>
          <w:spacing w:val="-5"/>
          <w:kern w:val="28"/>
          <w:lang w:eastAsia="en-US"/>
        </w:rPr>
        <w:t xml:space="preserve">Το κόστος για τη χρήση των υπόγειων αποθηκών της Ιταλίας για την αποθήκευση της ποσότητας 1,14 </w:t>
      </w:r>
      <w:proofErr w:type="spellStart"/>
      <w:r w:rsidRPr="00AE35C2">
        <w:rPr>
          <w:spacing w:val="-5"/>
          <w:kern w:val="28"/>
          <w:lang w:eastAsia="en-US"/>
        </w:rPr>
        <w:t>TWh</w:t>
      </w:r>
      <w:proofErr w:type="spellEnd"/>
      <w:r w:rsidRPr="00AE35C2">
        <w:rPr>
          <w:spacing w:val="-5"/>
          <w:kern w:val="28"/>
          <w:lang w:eastAsia="en-US"/>
        </w:rPr>
        <w:t xml:space="preserve"> ισούται με 2,5 €/</w:t>
      </w:r>
      <w:proofErr w:type="spellStart"/>
      <w:r w:rsidRPr="00AE35C2">
        <w:rPr>
          <w:spacing w:val="-5"/>
          <w:kern w:val="28"/>
          <w:lang w:eastAsia="en-US"/>
        </w:rPr>
        <w:t>MWh</w:t>
      </w:r>
      <w:proofErr w:type="spellEnd"/>
      <w:r w:rsidRPr="00AE35C2">
        <w:rPr>
          <w:spacing w:val="-5"/>
          <w:kern w:val="28"/>
          <w:lang w:eastAsia="en-US"/>
        </w:rPr>
        <w:t xml:space="preserve"> και συνολικά </w:t>
      </w:r>
      <w:r w:rsidRPr="00AE35C2">
        <w:rPr>
          <w:spacing w:val="-5"/>
          <w:kern w:val="28"/>
          <w:u w:val="single"/>
          <w:lang w:eastAsia="en-US"/>
        </w:rPr>
        <w:t xml:space="preserve">προϋπολογίζεται σε </w:t>
      </w:r>
      <w:r w:rsidRPr="00AE35C2">
        <w:rPr>
          <w:b/>
          <w:bCs/>
          <w:spacing w:val="-5"/>
          <w:kern w:val="28"/>
          <w:u w:val="single"/>
          <w:lang w:eastAsia="en-US"/>
        </w:rPr>
        <w:t>2,85 εκ. €</w:t>
      </w:r>
      <w:r w:rsidRPr="00AE35C2">
        <w:rPr>
          <w:spacing w:val="-5"/>
          <w:kern w:val="28"/>
          <w:lang w:eastAsia="en-US"/>
        </w:rPr>
        <w:t xml:space="preserve">. </w:t>
      </w:r>
    </w:p>
    <w:p w14:paraId="3D84D3FF" w14:textId="77777777" w:rsidR="000C1B73" w:rsidRPr="00AE35C2" w:rsidRDefault="000C4DBA" w:rsidP="00570B99">
      <w:pPr>
        <w:tabs>
          <w:tab w:val="left" w:pos="284"/>
          <w:tab w:val="left" w:pos="426"/>
          <w:tab w:val="left" w:pos="720"/>
        </w:tabs>
        <w:suppressAutoHyphens/>
        <w:spacing w:before="120" w:after="120" w:line="276" w:lineRule="auto"/>
        <w:ind w:left="284"/>
        <w:jc w:val="both"/>
        <w:rPr>
          <w:spacing w:val="-5"/>
          <w:kern w:val="28"/>
          <w:u w:val="single"/>
          <w:lang w:eastAsia="en-US"/>
        </w:rPr>
      </w:pPr>
      <w:r w:rsidRPr="00AE35C2">
        <w:rPr>
          <w:b/>
          <w:bCs/>
          <w:spacing w:val="-5"/>
          <w:kern w:val="28"/>
          <w:u w:val="single"/>
          <w:lang w:eastAsia="en-US"/>
        </w:rPr>
        <w:t>-</w:t>
      </w:r>
      <w:r w:rsidR="000C1B73" w:rsidRPr="00AE35C2">
        <w:rPr>
          <w:spacing w:val="-5"/>
          <w:kern w:val="28"/>
          <w:u w:val="single"/>
          <w:lang w:eastAsia="en-US"/>
        </w:rPr>
        <w:t xml:space="preserve"> Κόστος απόληψης και εισαγωγής στο σημείο Νέα Μεσημβρία</w:t>
      </w:r>
    </w:p>
    <w:p w14:paraId="2BC5AE30" w14:textId="77777777" w:rsidR="003B452E"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r w:rsidRPr="00AE35C2">
        <w:rPr>
          <w:spacing w:val="-5"/>
          <w:kern w:val="28"/>
          <w:lang w:eastAsia="en-US"/>
        </w:rPr>
        <w:t>Κατά την περίοδο απόληψης του ΦΑ από την αποθήκη και εισαγωγή στην Ελλάδα, το κόστος της μεταφοράς ισούται με 3,27 €/</w:t>
      </w:r>
      <w:proofErr w:type="spellStart"/>
      <w:r w:rsidRPr="00AE35C2">
        <w:rPr>
          <w:spacing w:val="-5"/>
          <w:kern w:val="28"/>
          <w:lang w:eastAsia="en-US"/>
        </w:rPr>
        <w:t>MWh</w:t>
      </w:r>
      <w:proofErr w:type="spellEnd"/>
      <w:r w:rsidRPr="00AE35C2">
        <w:rPr>
          <w:spacing w:val="-5"/>
          <w:kern w:val="28"/>
          <w:lang w:eastAsia="en-US"/>
        </w:rPr>
        <w:t>, όπως φαίνεται στον</w:t>
      </w:r>
      <w:r w:rsidRPr="00AE35C2">
        <w:rPr>
          <w:b/>
          <w:bCs/>
          <w:spacing w:val="-5"/>
          <w:kern w:val="28"/>
          <w:lang w:eastAsia="en-US"/>
        </w:rPr>
        <w:t xml:space="preserve"> </w:t>
      </w:r>
      <w:r w:rsidRPr="00AE35C2">
        <w:rPr>
          <w:spacing w:val="-5"/>
          <w:kern w:val="28"/>
          <w:lang w:eastAsia="en-US"/>
        </w:rPr>
        <w:t xml:space="preserve">Πίνακα 5. </w:t>
      </w:r>
    </w:p>
    <w:p w14:paraId="59B82507" w14:textId="77777777" w:rsidR="000C1B73" w:rsidRPr="00AE35C2" w:rsidRDefault="000C1B73" w:rsidP="00570B99">
      <w:pPr>
        <w:tabs>
          <w:tab w:val="left" w:pos="284"/>
          <w:tab w:val="left" w:pos="426"/>
          <w:tab w:val="left" w:pos="720"/>
        </w:tabs>
        <w:suppressAutoHyphens/>
        <w:spacing w:before="120" w:after="120" w:line="276" w:lineRule="auto"/>
        <w:ind w:left="284"/>
        <w:jc w:val="both"/>
        <w:rPr>
          <w:spacing w:val="-5"/>
          <w:kern w:val="28"/>
          <w:lang w:eastAsia="en-US"/>
        </w:rPr>
      </w:pPr>
      <w:r w:rsidRPr="00AE35C2">
        <w:rPr>
          <w:spacing w:val="-5"/>
          <w:kern w:val="28"/>
          <w:lang w:eastAsia="en-US"/>
        </w:rPr>
        <w:t xml:space="preserve">Συνολικά, το κόστος μεταφοράς του ΦΑ από την Ιταλία προς το ΕΣΜΦΑ </w:t>
      </w:r>
      <w:r w:rsidRPr="00AE35C2">
        <w:rPr>
          <w:spacing w:val="-5"/>
          <w:kern w:val="28"/>
          <w:u w:val="single"/>
          <w:lang w:eastAsia="en-US"/>
        </w:rPr>
        <w:t xml:space="preserve">προϋπολογίζεται σε </w:t>
      </w:r>
      <w:r w:rsidRPr="00AE35C2">
        <w:rPr>
          <w:b/>
          <w:bCs/>
          <w:spacing w:val="-5"/>
          <w:kern w:val="28"/>
          <w:u w:val="single"/>
          <w:lang w:eastAsia="en-US"/>
        </w:rPr>
        <w:t>3,73 εκ. €</w:t>
      </w:r>
      <w:r w:rsidRPr="00AE35C2">
        <w:rPr>
          <w:spacing w:val="-5"/>
          <w:kern w:val="28"/>
          <w:lang w:eastAsia="en-US"/>
        </w:rPr>
        <w:t>.</w:t>
      </w:r>
    </w:p>
    <w:p w14:paraId="08716339" w14:textId="77777777" w:rsidR="000C4DBA" w:rsidRPr="00AE35C2" w:rsidRDefault="000C4DBA" w:rsidP="00570B99">
      <w:pPr>
        <w:tabs>
          <w:tab w:val="left" w:pos="720"/>
        </w:tabs>
        <w:suppressAutoHyphens/>
        <w:spacing w:before="120" w:after="120" w:line="276" w:lineRule="auto"/>
        <w:jc w:val="center"/>
        <w:rPr>
          <w:bCs/>
          <w:spacing w:val="-5"/>
          <w:sz w:val="22"/>
          <w:szCs w:val="22"/>
          <w:lang w:eastAsia="ar-SA"/>
        </w:rPr>
      </w:pPr>
      <w:r w:rsidRPr="00AE35C2">
        <w:rPr>
          <w:b/>
          <w:spacing w:val="-5"/>
          <w:sz w:val="22"/>
          <w:szCs w:val="22"/>
          <w:lang w:eastAsia="ar-SA"/>
        </w:rPr>
        <w:t xml:space="preserve">Πίνακας 5: </w:t>
      </w:r>
      <w:r w:rsidRPr="00AE35C2">
        <w:rPr>
          <w:bCs/>
          <w:spacing w:val="-5"/>
          <w:sz w:val="22"/>
          <w:szCs w:val="22"/>
          <w:lang w:eastAsia="ar-SA"/>
        </w:rPr>
        <w:t>Μεταφορικό κόστος φυσικού αερίου από Ιταλία προς Ελλάδα</w:t>
      </w: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750"/>
        <w:gridCol w:w="1167"/>
        <w:gridCol w:w="1167"/>
      </w:tblGrid>
      <w:tr w:rsidR="000C4DBA" w:rsidRPr="00AE35C2" w14:paraId="61E6EA29" w14:textId="77777777" w:rsidTr="007816B5">
        <w:trPr>
          <w:trHeight w:val="535"/>
          <w:jc w:val="center"/>
        </w:trPr>
        <w:tc>
          <w:tcPr>
            <w:tcW w:w="3680" w:type="dxa"/>
            <w:shd w:val="clear" w:color="auto" w:fill="auto"/>
            <w:vAlign w:val="center"/>
          </w:tcPr>
          <w:p w14:paraId="00F847D8" w14:textId="77777777" w:rsidR="000C4DBA" w:rsidRPr="00AE35C2" w:rsidRDefault="000C4DBA" w:rsidP="00570B99">
            <w:pPr>
              <w:spacing w:after="160" w:line="259" w:lineRule="auto"/>
              <w:jc w:val="center"/>
              <w:rPr>
                <w:rFonts w:eastAsia="Calibri"/>
                <w:b/>
                <w:bCs/>
                <w:sz w:val="22"/>
                <w:szCs w:val="22"/>
                <w:lang w:eastAsia="en-US"/>
              </w:rPr>
            </w:pPr>
            <w:r w:rsidRPr="00AE35C2">
              <w:rPr>
                <w:rFonts w:eastAsia="Calibri"/>
                <w:b/>
                <w:bCs/>
                <w:sz w:val="22"/>
                <w:szCs w:val="22"/>
                <w:lang w:eastAsia="en-US"/>
              </w:rPr>
              <w:t>Ταρίφες μεταφοράς προς Ελλάδα</w:t>
            </w:r>
          </w:p>
        </w:tc>
        <w:tc>
          <w:tcPr>
            <w:tcW w:w="1750" w:type="dxa"/>
            <w:shd w:val="clear" w:color="auto" w:fill="auto"/>
            <w:vAlign w:val="center"/>
          </w:tcPr>
          <w:p w14:paraId="4FE8DD8B" w14:textId="77777777" w:rsidR="000C4DBA" w:rsidRPr="00AE35C2" w:rsidRDefault="000C4DBA" w:rsidP="00570B99">
            <w:pPr>
              <w:spacing w:after="160" w:line="259" w:lineRule="auto"/>
              <w:jc w:val="center"/>
              <w:rPr>
                <w:rFonts w:eastAsia="Calibri"/>
                <w:b/>
                <w:bCs/>
                <w:sz w:val="22"/>
                <w:szCs w:val="22"/>
                <w:lang w:eastAsia="en-US"/>
              </w:rPr>
            </w:pPr>
            <w:r w:rsidRPr="00AE35C2">
              <w:rPr>
                <w:rFonts w:eastAsia="Calibri"/>
                <w:b/>
                <w:bCs/>
                <w:sz w:val="22"/>
                <w:szCs w:val="22"/>
                <w:lang w:eastAsia="en-US"/>
              </w:rPr>
              <w:t>Τύπος Δυναμικότητας</w:t>
            </w:r>
          </w:p>
        </w:tc>
        <w:tc>
          <w:tcPr>
            <w:tcW w:w="1167" w:type="dxa"/>
            <w:shd w:val="clear" w:color="auto" w:fill="auto"/>
            <w:vAlign w:val="center"/>
          </w:tcPr>
          <w:p w14:paraId="3388008E" w14:textId="77777777" w:rsidR="000C4DBA" w:rsidRPr="00AE35C2" w:rsidRDefault="000C4DBA" w:rsidP="00570B99">
            <w:pPr>
              <w:spacing w:after="160" w:line="259" w:lineRule="auto"/>
              <w:jc w:val="center"/>
              <w:rPr>
                <w:rFonts w:eastAsia="Calibri"/>
                <w:b/>
                <w:bCs/>
                <w:sz w:val="22"/>
                <w:szCs w:val="22"/>
                <w:lang w:eastAsia="en-US"/>
              </w:rPr>
            </w:pPr>
            <w:r w:rsidRPr="00AE35C2">
              <w:rPr>
                <w:rFonts w:eastAsia="Calibri"/>
                <w:b/>
                <w:bCs/>
                <w:sz w:val="22"/>
                <w:szCs w:val="22"/>
                <w:lang w:eastAsia="en-US"/>
              </w:rPr>
              <w:t>€/</w:t>
            </w:r>
            <w:r w:rsidRPr="00AE35C2">
              <w:rPr>
                <w:rFonts w:eastAsia="Calibri"/>
                <w:b/>
                <w:bCs/>
                <w:sz w:val="22"/>
                <w:szCs w:val="22"/>
                <w:lang w:val="en-US" w:eastAsia="en-US"/>
              </w:rPr>
              <w:t>MWh</w:t>
            </w:r>
          </w:p>
        </w:tc>
        <w:tc>
          <w:tcPr>
            <w:tcW w:w="1167" w:type="dxa"/>
            <w:shd w:val="clear" w:color="auto" w:fill="auto"/>
            <w:vAlign w:val="center"/>
          </w:tcPr>
          <w:p w14:paraId="038A0B7A" w14:textId="77777777" w:rsidR="000C4DBA" w:rsidRPr="00AE35C2" w:rsidRDefault="000C4DBA" w:rsidP="00570B99">
            <w:pPr>
              <w:spacing w:after="160" w:line="259" w:lineRule="auto"/>
              <w:jc w:val="center"/>
              <w:rPr>
                <w:rFonts w:eastAsia="Calibri"/>
                <w:b/>
                <w:bCs/>
                <w:sz w:val="22"/>
                <w:szCs w:val="22"/>
                <w:lang w:eastAsia="en-US"/>
              </w:rPr>
            </w:pPr>
            <w:r w:rsidRPr="00AE35C2">
              <w:rPr>
                <w:rFonts w:eastAsia="Calibri"/>
                <w:b/>
                <w:bCs/>
                <w:sz w:val="22"/>
                <w:szCs w:val="22"/>
                <w:lang w:eastAsia="en-US"/>
              </w:rPr>
              <w:t>€/</w:t>
            </w:r>
            <w:r w:rsidRPr="00AE35C2">
              <w:rPr>
                <w:rFonts w:eastAsia="Calibri"/>
                <w:b/>
                <w:bCs/>
                <w:sz w:val="22"/>
                <w:szCs w:val="22"/>
                <w:lang w:val="en-US" w:eastAsia="en-US"/>
              </w:rPr>
              <w:t>MWh (</w:t>
            </w:r>
            <w:r w:rsidRPr="00AE35C2">
              <w:rPr>
                <w:rFonts w:eastAsia="Calibri"/>
                <w:b/>
                <w:bCs/>
                <w:sz w:val="22"/>
                <w:szCs w:val="22"/>
                <w:lang w:eastAsia="en-US"/>
              </w:rPr>
              <w:t>Σύνολο)</w:t>
            </w:r>
          </w:p>
        </w:tc>
      </w:tr>
      <w:tr w:rsidR="000C4DBA" w:rsidRPr="00AE35C2" w14:paraId="08A05887" w14:textId="77777777" w:rsidTr="007816B5">
        <w:trPr>
          <w:trHeight w:val="535"/>
          <w:jc w:val="center"/>
        </w:trPr>
        <w:tc>
          <w:tcPr>
            <w:tcW w:w="3680" w:type="dxa"/>
            <w:shd w:val="clear" w:color="auto" w:fill="auto"/>
          </w:tcPr>
          <w:p w14:paraId="72B2127D" w14:textId="77777777" w:rsidR="000C4DBA" w:rsidRPr="00AE35C2" w:rsidRDefault="000C4DBA" w:rsidP="00570B99">
            <w:pPr>
              <w:spacing w:after="160" w:line="259" w:lineRule="auto"/>
              <w:jc w:val="both"/>
              <w:rPr>
                <w:rFonts w:eastAsia="Calibri"/>
                <w:sz w:val="22"/>
                <w:szCs w:val="22"/>
                <w:lang w:val="en-US" w:eastAsia="en-US"/>
              </w:rPr>
            </w:pPr>
            <w:r w:rsidRPr="00AE35C2">
              <w:rPr>
                <w:rFonts w:eastAsia="Calibri"/>
                <w:sz w:val="22"/>
                <w:szCs w:val="22"/>
                <w:lang w:eastAsia="en-US"/>
              </w:rPr>
              <w:t xml:space="preserve">Έξοδος </w:t>
            </w:r>
            <w:proofErr w:type="spellStart"/>
            <w:r w:rsidRPr="00AE35C2">
              <w:rPr>
                <w:rFonts w:eastAsia="Calibri"/>
                <w:sz w:val="22"/>
                <w:szCs w:val="22"/>
                <w:lang w:val="en-US" w:eastAsia="en-US"/>
              </w:rPr>
              <w:t>Meledugno</w:t>
            </w:r>
            <w:proofErr w:type="spellEnd"/>
            <w:r w:rsidRPr="00AE35C2">
              <w:rPr>
                <w:rFonts w:eastAsia="Calibri"/>
                <w:sz w:val="22"/>
                <w:szCs w:val="22"/>
                <w:lang w:val="en-US" w:eastAsia="en-US"/>
              </w:rPr>
              <w:t xml:space="preserve"> (SNAM)</w:t>
            </w:r>
          </w:p>
        </w:tc>
        <w:tc>
          <w:tcPr>
            <w:tcW w:w="1750" w:type="dxa"/>
            <w:shd w:val="clear" w:color="auto" w:fill="auto"/>
            <w:vAlign w:val="center"/>
          </w:tcPr>
          <w:p w14:paraId="347C3F52"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val="en-US" w:eastAsia="en-US"/>
              </w:rPr>
              <w:t>Interruptible</w:t>
            </w:r>
          </w:p>
        </w:tc>
        <w:tc>
          <w:tcPr>
            <w:tcW w:w="1167" w:type="dxa"/>
            <w:shd w:val="clear" w:color="auto" w:fill="auto"/>
            <w:vAlign w:val="center"/>
          </w:tcPr>
          <w:p w14:paraId="1D95F4A6"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eastAsia="en-US"/>
              </w:rPr>
              <w:t>1,51</w:t>
            </w:r>
          </w:p>
        </w:tc>
        <w:tc>
          <w:tcPr>
            <w:tcW w:w="1167" w:type="dxa"/>
            <w:vMerge w:val="restart"/>
            <w:shd w:val="clear" w:color="auto" w:fill="auto"/>
            <w:vAlign w:val="center"/>
          </w:tcPr>
          <w:p w14:paraId="1CD73F33"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eastAsia="en-US"/>
              </w:rPr>
              <w:t>3,27</w:t>
            </w:r>
          </w:p>
        </w:tc>
      </w:tr>
      <w:tr w:rsidR="000C4DBA" w:rsidRPr="00AE35C2" w14:paraId="4E184A24" w14:textId="77777777" w:rsidTr="007816B5">
        <w:trPr>
          <w:trHeight w:val="803"/>
          <w:jc w:val="center"/>
        </w:trPr>
        <w:tc>
          <w:tcPr>
            <w:tcW w:w="3680" w:type="dxa"/>
            <w:shd w:val="clear" w:color="auto" w:fill="auto"/>
          </w:tcPr>
          <w:p w14:paraId="0A70F416" w14:textId="77777777" w:rsidR="000C4DBA" w:rsidRPr="00AE35C2" w:rsidRDefault="000C4DBA" w:rsidP="00570B99">
            <w:pPr>
              <w:spacing w:after="160" w:line="259" w:lineRule="auto"/>
              <w:jc w:val="both"/>
              <w:rPr>
                <w:rFonts w:eastAsia="Calibri"/>
                <w:sz w:val="22"/>
                <w:szCs w:val="22"/>
                <w:lang w:eastAsia="en-US"/>
              </w:rPr>
            </w:pPr>
            <w:r w:rsidRPr="00AE35C2">
              <w:rPr>
                <w:rFonts w:eastAsia="Calibri"/>
                <w:sz w:val="22"/>
                <w:szCs w:val="22"/>
                <w:lang w:eastAsia="en-US"/>
              </w:rPr>
              <w:lastRenderedPageBreak/>
              <w:t xml:space="preserve">Είσοδος </w:t>
            </w:r>
            <w:proofErr w:type="spellStart"/>
            <w:r w:rsidRPr="00AE35C2">
              <w:rPr>
                <w:rFonts w:eastAsia="Calibri"/>
                <w:sz w:val="22"/>
                <w:szCs w:val="22"/>
                <w:lang w:val="en-US" w:eastAsia="en-US"/>
              </w:rPr>
              <w:t>Meledugno</w:t>
            </w:r>
            <w:proofErr w:type="spellEnd"/>
            <w:r w:rsidRPr="00AE35C2">
              <w:rPr>
                <w:rFonts w:eastAsia="Calibri"/>
                <w:sz w:val="22"/>
                <w:szCs w:val="22"/>
                <w:lang w:eastAsia="en-US"/>
              </w:rPr>
              <w:t xml:space="preserve"> -Έξοδος Νέα Μεσημβρία (</w:t>
            </w:r>
            <w:r w:rsidRPr="00AE35C2">
              <w:rPr>
                <w:rFonts w:eastAsia="Calibri"/>
                <w:sz w:val="22"/>
                <w:szCs w:val="22"/>
                <w:lang w:val="en-US" w:eastAsia="en-US"/>
              </w:rPr>
              <w:t>TAP</w:t>
            </w:r>
            <w:r w:rsidRPr="00AE35C2">
              <w:rPr>
                <w:rFonts w:eastAsia="Calibri"/>
                <w:sz w:val="22"/>
                <w:szCs w:val="22"/>
                <w:lang w:eastAsia="en-US"/>
              </w:rPr>
              <w:t xml:space="preserve">) </w:t>
            </w:r>
          </w:p>
        </w:tc>
        <w:tc>
          <w:tcPr>
            <w:tcW w:w="1750" w:type="dxa"/>
            <w:shd w:val="clear" w:color="auto" w:fill="auto"/>
            <w:vAlign w:val="center"/>
          </w:tcPr>
          <w:p w14:paraId="2A509695"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val="en-US" w:eastAsia="en-US"/>
              </w:rPr>
              <w:t>Interruptible</w:t>
            </w:r>
          </w:p>
        </w:tc>
        <w:tc>
          <w:tcPr>
            <w:tcW w:w="1167" w:type="dxa"/>
            <w:shd w:val="clear" w:color="auto" w:fill="auto"/>
            <w:vAlign w:val="center"/>
          </w:tcPr>
          <w:p w14:paraId="70AD9A82"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eastAsia="en-US"/>
              </w:rPr>
              <w:t>0,35</w:t>
            </w:r>
          </w:p>
        </w:tc>
        <w:tc>
          <w:tcPr>
            <w:tcW w:w="1167" w:type="dxa"/>
            <w:vMerge/>
            <w:shd w:val="clear" w:color="auto" w:fill="auto"/>
          </w:tcPr>
          <w:p w14:paraId="4F0D58E6" w14:textId="77777777" w:rsidR="000C4DBA" w:rsidRPr="00AE35C2" w:rsidRDefault="000C4DBA" w:rsidP="00570B99">
            <w:pPr>
              <w:spacing w:after="160" w:line="259" w:lineRule="auto"/>
              <w:jc w:val="both"/>
              <w:rPr>
                <w:rFonts w:eastAsia="Calibri"/>
                <w:sz w:val="22"/>
                <w:szCs w:val="22"/>
                <w:lang w:eastAsia="en-US"/>
              </w:rPr>
            </w:pPr>
          </w:p>
        </w:tc>
      </w:tr>
      <w:tr w:rsidR="000C4DBA" w:rsidRPr="00AE35C2" w14:paraId="5B62B092" w14:textId="77777777" w:rsidTr="007816B5">
        <w:trPr>
          <w:trHeight w:val="535"/>
          <w:jc w:val="center"/>
        </w:trPr>
        <w:tc>
          <w:tcPr>
            <w:tcW w:w="3680" w:type="dxa"/>
            <w:shd w:val="clear" w:color="auto" w:fill="auto"/>
          </w:tcPr>
          <w:p w14:paraId="14E13813" w14:textId="77777777" w:rsidR="000C4DBA" w:rsidRPr="00AE35C2" w:rsidRDefault="000C4DBA" w:rsidP="00570B99">
            <w:pPr>
              <w:spacing w:after="160" w:line="259" w:lineRule="auto"/>
              <w:jc w:val="both"/>
              <w:rPr>
                <w:rFonts w:eastAsia="Calibri"/>
                <w:sz w:val="22"/>
                <w:szCs w:val="22"/>
                <w:lang w:eastAsia="en-US"/>
              </w:rPr>
            </w:pPr>
            <w:r w:rsidRPr="00AE35C2">
              <w:rPr>
                <w:rFonts w:eastAsia="Calibri"/>
                <w:sz w:val="22"/>
                <w:szCs w:val="22"/>
                <w:lang w:eastAsia="en-US"/>
              </w:rPr>
              <w:t>Είσοδος Νέα Μεσημβρία (ΔΕΣΦΑ)</w:t>
            </w:r>
          </w:p>
        </w:tc>
        <w:tc>
          <w:tcPr>
            <w:tcW w:w="1750" w:type="dxa"/>
            <w:shd w:val="clear" w:color="auto" w:fill="auto"/>
            <w:vAlign w:val="center"/>
          </w:tcPr>
          <w:p w14:paraId="1F30E115"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val="en-US" w:eastAsia="en-US"/>
              </w:rPr>
              <w:t>Firm</w:t>
            </w:r>
          </w:p>
        </w:tc>
        <w:tc>
          <w:tcPr>
            <w:tcW w:w="1167" w:type="dxa"/>
            <w:shd w:val="clear" w:color="auto" w:fill="auto"/>
            <w:vAlign w:val="center"/>
          </w:tcPr>
          <w:p w14:paraId="3137B49A" w14:textId="77777777" w:rsidR="000C4DBA" w:rsidRPr="00AE35C2" w:rsidRDefault="000C4DBA" w:rsidP="00570B99">
            <w:pPr>
              <w:spacing w:after="160" w:line="259" w:lineRule="auto"/>
              <w:jc w:val="center"/>
              <w:rPr>
                <w:rFonts w:eastAsia="Calibri"/>
                <w:sz w:val="22"/>
                <w:szCs w:val="22"/>
                <w:lang w:eastAsia="en-US"/>
              </w:rPr>
            </w:pPr>
            <w:r w:rsidRPr="00AE35C2">
              <w:rPr>
                <w:rFonts w:eastAsia="Calibri"/>
                <w:sz w:val="22"/>
                <w:szCs w:val="22"/>
                <w:lang w:eastAsia="en-US"/>
              </w:rPr>
              <w:t>1,42</w:t>
            </w:r>
          </w:p>
        </w:tc>
        <w:tc>
          <w:tcPr>
            <w:tcW w:w="1167" w:type="dxa"/>
            <w:vMerge/>
            <w:shd w:val="clear" w:color="auto" w:fill="auto"/>
          </w:tcPr>
          <w:p w14:paraId="411846D8" w14:textId="77777777" w:rsidR="000C4DBA" w:rsidRPr="00AE35C2" w:rsidRDefault="000C4DBA" w:rsidP="00570B99">
            <w:pPr>
              <w:keepNext/>
              <w:spacing w:after="160" w:line="259" w:lineRule="auto"/>
              <w:jc w:val="both"/>
              <w:rPr>
                <w:rFonts w:eastAsia="Calibri"/>
                <w:sz w:val="22"/>
                <w:szCs w:val="22"/>
                <w:lang w:eastAsia="en-US"/>
              </w:rPr>
            </w:pPr>
          </w:p>
        </w:tc>
      </w:tr>
    </w:tbl>
    <w:p w14:paraId="0EB11EED" w14:textId="77777777" w:rsidR="003B452E" w:rsidRPr="00AE35C2" w:rsidRDefault="003B452E" w:rsidP="00570B99">
      <w:pPr>
        <w:pStyle w:val="a7"/>
        <w:numPr>
          <w:ilvl w:val="0"/>
          <w:numId w:val="4"/>
        </w:numPr>
        <w:tabs>
          <w:tab w:val="left" w:pos="720"/>
        </w:tabs>
        <w:spacing w:before="120" w:after="120" w:line="276" w:lineRule="auto"/>
        <w:contextualSpacing w:val="0"/>
        <w:jc w:val="both"/>
        <w:rPr>
          <w:b/>
          <w:bCs/>
          <w:i/>
          <w:iCs/>
          <w:spacing w:val="-5"/>
        </w:rPr>
      </w:pPr>
      <w:bookmarkStart w:id="9" w:name="_Hlk115359634"/>
      <w:r w:rsidRPr="00AE35C2">
        <w:rPr>
          <w:spacing w:val="-5"/>
          <w:kern w:val="28"/>
          <w:u w:val="single"/>
          <w:lang w:eastAsia="en-US"/>
        </w:rPr>
        <w:t xml:space="preserve">Αποζημίωση Συμβολαίου Διαφορών </w:t>
      </w:r>
      <w:bookmarkEnd w:id="9"/>
    </w:p>
    <w:p w14:paraId="3BFC1F13" w14:textId="120B0258" w:rsidR="003B452E" w:rsidRPr="00AE35C2" w:rsidRDefault="003B452E" w:rsidP="00570B99">
      <w:pPr>
        <w:pStyle w:val="a7"/>
        <w:tabs>
          <w:tab w:val="left" w:pos="720"/>
        </w:tabs>
        <w:spacing w:before="120" w:after="120" w:line="276" w:lineRule="auto"/>
        <w:ind w:left="360"/>
        <w:contextualSpacing w:val="0"/>
        <w:jc w:val="both"/>
        <w:rPr>
          <w:b/>
          <w:bCs/>
          <w:i/>
          <w:iCs/>
          <w:spacing w:val="-5"/>
        </w:rPr>
      </w:pPr>
      <w:r w:rsidRPr="00AE35C2">
        <w:rPr>
          <w:spacing w:val="-5"/>
        </w:rPr>
        <w:t>Το κόστος προμήθειας αερίου δεν αποζημιώνεται καθώς θα χρησιμοποιηθεί από τους Υπόχρεους για την κάλυψη των πελατών τους κατά την περίοδο του χειμώνα. Ωστόσο λόγω της πρώιμης προμήθειας ΦΑ και τα κόστη που δημιουργούνται εξαιτίας αυτής, καθώς και για την ασφαλέστερη θέση των υπόχρεων, δημιουργείται προαιρετικά ένα Συμβόλαιο Διαφορών (</w:t>
      </w:r>
      <w:proofErr w:type="spellStart"/>
      <w:r w:rsidRPr="00AE35C2">
        <w:rPr>
          <w:spacing w:val="-5"/>
        </w:rPr>
        <w:t>Contract</w:t>
      </w:r>
      <w:proofErr w:type="spellEnd"/>
      <w:r w:rsidRPr="00AE35C2">
        <w:rPr>
          <w:spacing w:val="-5"/>
        </w:rPr>
        <w:t xml:space="preserve"> for </w:t>
      </w:r>
      <w:proofErr w:type="spellStart"/>
      <w:r w:rsidRPr="00AE35C2">
        <w:rPr>
          <w:spacing w:val="-5"/>
        </w:rPr>
        <w:t>Differences</w:t>
      </w:r>
      <w:proofErr w:type="spellEnd"/>
      <w:r w:rsidRPr="00AE35C2">
        <w:rPr>
          <w:spacing w:val="-5"/>
        </w:rPr>
        <w:t xml:space="preserve">, </w:t>
      </w:r>
      <w:proofErr w:type="spellStart"/>
      <w:r w:rsidRPr="00AE35C2">
        <w:rPr>
          <w:spacing w:val="-5"/>
        </w:rPr>
        <w:t>CfD</w:t>
      </w:r>
      <w:proofErr w:type="spellEnd"/>
      <w:r w:rsidRPr="00AE35C2">
        <w:rPr>
          <w:spacing w:val="-5"/>
        </w:rPr>
        <w:t xml:space="preserve">), αφενός για την κάλυψη των Υπόχρεων Προμηθευτών σε περίπτωση που η εμπορική τιμή του αερίου κατά την απόληψη (Βάθρο </w:t>
      </w:r>
      <w:proofErr w:type="spellStart"/>
      <w:r w:rsidRPr="00AE35C2">
        <w:rPr>
          <w:spacing w:val="-5"/>
        </w:rPr>
        <w:t>Eμπορίας</w:t>
      </w:r>
      <w:proofErr w:type="spellEnd"/>
      <w:r w:rsidRPr="00AE35C2">
        <w:rPr>
          <w:spacing w:val="-5"/>
        </w:rPr>
        <w:t>) σε σχέση με την τιμή προμήθειας κατά την περίοδο έγχυσης είναι μικρότερη, αλλά και για την προστασία των καταναλωτών από τυχόν ιδιαίτερα υψηλές τιμές κατά την περίοδο απόληψης, εφόσον οι Υπόχρεοι Προμηθευτές επιστρέφουν την διαφορά (</w:t>
      </w:r>
      <w:proofErr w:type="spellStart"/>
      <w:r w:rsidRPr="00AE35C2">
        <w:rPr>
          <w:spacing w:val="-5"/>
        </w:rPr>
        <w:t>pay-back</w:t>
      </w:r>
      <w:proofErr w:type="spellEnd"/>
      <w:r w:rsidRPr="00AE35C2">
        <w:rPr>
          <w:spacing w:val="-5"/>
        </w:rPr>
        <w:t xml:space="preserve"> </w:t>
      </w:r>
      <w:proofErr w:type="spellStart"/>
      <w:r w:rsidRPr="00AE35C2">
        <w:rPr>
          <w:spacing w:val="-5"/>
        </w:rPr>
        <w:t>obligation</w:t>
      </w:r>
      <w:proofErr w:type="spellEnd"/>
      <w:r w:rsidRPr="00AE35C2">
        <w:rPr>
          <w:spacing w:val="-5"/>
        </w:rPr>
        <w:t xml:space="preserve">) από την τιμή </w:t>
      </w:r>
      <w:r w:rsidR="007E144A">
        <w:rPr>
          <w:spacing w:val="-5"/>
        </w:rPr>
        <w:t>προμήθειας</w:t>
      </w:r>
      <w:r w:rsidRPr="00AE35C2">
        <w:rPr>
          <w:spacing w:val="-5"/>
        </w:rPr>
        <w:t xml:space="preserve"> και την τρέχουσα εμπορική τιμή κατά την στιγμή της απόληψης στο ΤΑΕ. </w:t>
      </w:r>
    </w:p>
    <w:p w14:paraId="1DCA921C" w14:textId="77777777" w:rsidR="003B452E" w:rsidRPr="00AE35C2" w:rsidRDefault="003B452E" w:rsidP="00570B99">
      <w:pPr>
        <w:pStyle w:val="a7"/>
        <w:tabs>
          <w:tab w:val="left" w:pos="720"/>
        </w:tabs>
        <w:spacing w:before="120" w:after="120" w:line="276" w:lineRule="auto"/>
        <w:ind w:left="360"/>
        <w:contextualSpacing w:val="0"/>
        <w:jc w:val="both"/>
        <w:rPr>
          <w:spacing w:val="-5"/>
        </w:rPr>
      </w:pPr>
      <w:r w:rsidRPr="00AE35C2">
        <w:rPr>
          <w:spacing w:val="-5"/>
        </w:rPr>
        <w:t>Πιο συγκεκριμένα</w:t>
      </w:r>
      <w:r w:rsidRPr="00AE35C2">
        <w:rPr>
          <w:b/>
          <w:bCs/>
          <w:i/>
          <w:iCs/>
          <w:spacing w:val="-5"/>
        </w:rPr>
        <w:t xml:space="preserve"> </w:t>
      </w:r>
      <w:r w:rsidRPr="00AE35C2">
        <w:rPr>
          <w:spacing w:val="-5"/>
        </w:rPr>
        <w:t>σε ότι αφορά την αποζημίωση των Υπόχρεων μέσω Συμβολαίων Διαφορών (</w:t>
      </w:r>
      <w:proofErr w:type="spellStart"/>
      <w:r w:rsidRPr="00AE35C2">
        <w:rPr>
          <w:spacing w:val="-5"/>
        </w:rPr>
        <w:t>Contract</w:t>
      </w:r>
      <w:proofErr w:type="spellEnd"/>
      <w:r w:rsidRPr="00AE35C2">
        <w:rPr>
          <w:spacing w:val="-5"/>
        </w:rPr>
        <w:t xml:space="preserve"> for </w:t>
      </w:r>
      <w:proofErr w:type="spellStart"/>
      <w:r w:rsidRPr="00AE35C2">
        <w:rPr>
          <w:spacing w:val="-5"/>
        </w:rPr>
        <w:t>Differences</w:t>
      </w:r>
      <w:proofErr w:type="spellEnd"/>
      <w:r w:rsidRPr="00AE35C2">
        <w:rPr>
          <w:spacing w:val="-5"/>
        </w:rPr>
        <w:t xml:space="preserve">, </w:t>
      </w:r>
      <w:proofErr w:type="spellStart"/>
      <w:r w:rsidRPr="00AE35C2">
        <w:rPr>
          <w:spacing w:val="-5"/>
        </w:rPr>
        <w:t>CfD</w:t>
      </w:r>
      <w:proofErr w:type="spellEnd"/>
      <w:r w:rsidRPr="00AE35C2">
        <w:rPr>
          <w:spacing w:val="-5"/>
        </w:rPr>
        <w:t xml:space="preserve">) που έχουν συνάψει με το ΔΕΣΦΑ, οι Υπόχρεοι θα αποζημιώνονται τη </w:t>
      </w:r>
      <w:proofErr w:type="spellStart"/>
      <w:r w:rsidRPr="00AE35C2">
        <w:rPr>
          <w:spacing w:val="-5"/>
        </w:rPr>
        <w:t>μοναδιαία</w:t>
      </w:r>
      <w:proofErr w:type="spellEnd"/>
      <w:r w:rsidRPr="00AE35C2">
        <w:rPr>
          <w:spacing w:val="-5"/>
        </w:rPr>
        <w:t xml:space="preserve"> διαφορά μεταξύ της τιμής </w:t>
      </w:r>
      <w:proofErr w:type="spellStart"/>
      <w:r w:rsidRPr="00AE35C2">
        <w:rPr>
          <w:spacing w:val="-5"/>
        </w:rPr>
        <w:t>strike</w:t>
      </w:r>
      <w:proofErr w:type="spellEnd"/>
      <w:r w:rsidRPr="00AE35C2">
        <w:rPr>
          <w:spacing w:val="-5"/>
        </w:rPr>
        <w:t xml:space="preserve"> </w:t>
      </w:r>
      <w:proofErr w:type="spellStart"/>
      <w:r w:rsidRPr="00AE35C2">
        <w:rPr>
          <w:spacing w:val="-5"/>
        </w:rPr>
        <w:t>price</w:t>
      </w:r>
      <w:proofErr w:type="spellEnd"/>
      <w:r w:rsidRPr="00AE35C2">
        <w:rPr>
          <w:spacing w:val="-5"/>
        </w:rPr>
        <w:t xml:space="preserve">, και την τρέχουσα εμπορική τιμή κατά τη στιγμή της απόληψης της ποσότητας ΦΑ, εφόσον αυτή είναι μικρότερη από την τιμή </w:t>
      </w:r>
      <w:proofErr w:type="spellStart"/>
      <w:r w:rsidRPr="00AE35C2">
        <w:rPr>
          <w:spacing w:val="-5"/>
        </w:rPr>
        <w:t>strike</w:t>
      </w:r>
      <w:proofErr w:type="spellEnd"/>
      <w:r w:rsidRPr="00AE35C2">
        <w:rPr>
          <w:spacing w:val="-5"/>
        </w:rPr>
        <w:t xml:space="preserve"> </w:t>
      </w:r>
      <w:proofErr w:type="spellStart"/>
      <w:r w:rsidRPr="00AE35C2">
        <w:rPr>
          <w:spacing w:val="-5"/>
        </w:rPr>
        <w:t>price</w:t>
      </w:r>
      <w:proofErr w:type="spellEnd"/>
      <w:r w:rsidRPr="00AE35C2">
        <w:rPr>
          <w:spacing w:val="-5"/>
        </w:rPr>
        <w:t xml:space="preserve">. Στην περίπτωση που η τιμή είναι μεγαλύτερη της τιμής </w:t>
      </w:r>
      <w:proofErr w:type="spellStart"/>
      <w:r w:rsidRPr="00AE35C2">
        <w:rPr>
          <w:spacing w:val="-5"/>
        </w:rPr>
        <w:t>strike</w:t>
      </w:r>
      <w:proofErr w:type="spellEnd"/>
      <w:r w:rsidRPr="00AE35C2">
        <w:rPr>
          <w:spacing w:val="-5"/>
        </w:rPr>
        <w:t xml:space="preserve"> </w:t>
      </w:r>
      <w:proofErr w:type="spellStart"/>
      <w:r w:rsidRPr="00AE35C2">
        <w:rPr>
          <w:spacing w:val="-5"/>
        </w:rPr>
        <w:t>price</w:t>
      </w:r>
      <w:proofErr w:type="spellEnd"/>
      <w:r w:rsidRPr="00AE35C2">
        <w:rPr>
          <w:spacing w:val="-5"/>
        </w:rPr>
        <w:t>, η διαφορά θα επιστρέφεται από τους Υπόχρεους Προμηθευτές στο ΤΑΕ (</w:t>
      </w:r>
      <w:proofErr w:type="spellStart"/>
      <w:r w:rsidRPr="00AE35C2">
        <w:rPr>
          <w:spacing w:val="-5"/>
        </w:rPr>
        <w:t>pay-back</w:t>
      </w:r>
      <w:proofErr w:type="spellEnd"/>
      <w:r w:rsidRPr="00AE35C2">
        <w:rPr>
          <w:spacing w:val="-5"/>
        </w:rPr>
        <w:t xml:space="preserve"> </w:t>
      </w:r>
      <w:proofErr w:type="spellStart"/>
      <w:r w:rsidRPr="00AE35C2">
        <w:rPr>
          <w:spacing w:val="-5"/>
        </w:rPr>
        <w:t>obligation</w:t>
      </w:r>
      <w:proofErr w:type="spellEnd"/>
      <w:r w:rsidRPr="00AE35C2">
        <w:rPr>
          <w:spacing w:val="-5"/>
        </w:rPr>
        <w:t>).</w:t>
      </w:r>
      <w:r w:rsidRPr="00AE35C2">
        <w:rPr>
          <w:spacing w:val="-5"/>
          <w:sz w:val="22"/>
          <w:szCs w:val="22"/>
        </w:rPr>
        <w:t xml:space="preserve"> </w:t>
      </w:r>
      <w:r w:rsidRPr="00AE35C2">
        <w:rPr>
          <w:spacing w:val="-5"/>
        </w:rPr>
        <w:t xml:space="preserve">Η τιμή </w:t>
      </w:r>
      <w:proofErr w:type="spellStart"/>
      <w:r w:rsidRPr="00AE35C2">
        <w:rPr>
          <w:spacing w:val="-5"/>
        </w:rPr>
        <w:t>strike</w:t>
      </w:r>
      <w:proofErr w:type="spellEnd"/>
      <w:r w:rsidRPr="00AE35C2">
        <w:rPr>
          <w:spacing w:val="-5"/>
        </w:rPr>
        <w:t xml:space="preserve"> </w:t>
      </w:r>
      <w:proofErr w:type="spellStart"/>
      <w:r w:rsidRPr="00AE35C2">
        <w:rPr>
          <w:spacing w:val="-5"/>
        </w:rPr>
        <w:t>price</w:t>
      </w:r>
      <w:proofErr w:type="spellEnd"/>
      <w:r w:rsidRPr="00AE35C2">
        <w:rPr>
          <w:spacing w:val="-5"/>
        </w:rPr>
        <w:t xml:space="preserve">, η οποία θα περιλαμβάνει και το κεφαλαιουχικό κόστος διατήρησης αποθεμάτων ΦΑ κατά τα οριζόμενα στο </w:t>
      </w:r>
      <w:proofErr w:type="spellStart"/>
      <w:r w:rsidRPr="00AE35C2">
        <w:rPr>
          <w:spacing w:val="-5"/>
        </w:rPr>
        <w:t>εγκριθέν</w:t>
      </w:r>
      <w:proofErr w:type="spellEnd"/>
      <w:r w:rsidRPr="00AE35C2">
        <w:rPr>
          <w:spacing w:val="-5"/>
        </w:rPr>
        <w:t xml:space="preserve"> ΣΠΔ, θα καθοριστεί με σχετική Απόφαση της ΡΑΕ, μετά από σχετική εισήγηση του ΕΧΕ.  </w:t>
      </w:r>
    </w:p>
    <w:p w14:paraId="517F6C17" w14:textId="77777777" w:rsidR="003B452E" w:rsidRPr="00AE35C2" w:rsidRDefault="003B452E" w:rsidP="00570B99">
      <w:pPr>
        <w:pStyle w:val="a7"/>
        <w:tabs>
          <w:tab w:val="left" w:pos="720"/>
        </w:tabs>
        <w:spacing w:before="120" w:after="120" w:line="276" w:lineRule="auto"/>
        <w:ind w:left="360"/>
        <w:contextualSpacing w:val="0"/>
        <w:jc w:val="both"/>
        <w:rPr>
          <w:spacing w:val="-5"/>
        </w:rPr>
      </w:pPr>
      <w:r w:rsidRPr="00AE35C2">
        <w:t>Γ</w:t>
      </w:r>
      <w:r w:rsidRPr="00AE35C2">
        <w:rPr>
          <w:spacing w:val="-5"/>
        </w:rPr>
        <w:t>ια την εκτίμηση του προϋπολογιστικού κόστους</w:t>
      </w:r>
      <w:r w:rsidRPr="00AE35C2">
        <w:rPr>
          <w:spacing w:val="-5"/>
          <w:sz w:val="22"/>
          <w:szCs w:val="22"/>
        </w:rPr>
        <w:t xml:space="preserve"> </w:t>
      </w:r>
      <w:r w:rsidRPr="00AE35C2">
        <w:rPr>
          <w:spacing w:val="-5"/>
        </w:rPr>
        <w:t>αποζημίωσης των Συμβολαίων Διαφορών,</w:t>
      </w:r>
      <w:r w:rsidRPr="00AE35C2">
        <w:rPr>
          <w:b/>
          <w:bCs/>
          <w:i/>
          <w:iCs/>
          <w:spacing w:val="-5"/>
        </w:rPr>
        <w:t xml:space="preserve"> </w:t>
      </w:r>
      <w:r w:rsidRPr="00AE35C2">
        <w:rPr>
          <w:spacing w:val="-5"/>
        </w:rPr>
        <w:t>η τιμή προμήθειας εκτιμάται στα 200 €/</w:t>
      </w:r>
      <w:proofErr w:type="spellStart"/>
      <w:r w:rsidRPr="00AE35C2">
        <w:rPr>
          <w:spacing w:val="-5"/>
        </w:rPr>
        <w:t>MWh</w:t>
      </w:r>
      <w:proofErr w:type="spellEnd"/>
      <w:r w:rsidRPr="00AE35C2">
        <w:rPr>
          <w:spacing w:val="-5"/>
        </w:rPr>
        <w:t xml:space="preserve"> (η τελική τιμή καθορίζεται με βάση την ανωτέρω σχετική Απόφαση της ΡΑΕ) και η εμπορική τιμή (τιμή αναφοράς/</w:t>
      </w:r>
      <w:r w:rsidRPr="00AE35C2">
        <w:rPr>
          <w:spacing w:val="-5"/>
          <w:lang w:val="en-US"/>
        </w:rPr>
        <w:t>reference</w:t>
      </w:r>
      <w:r w:rsidRPr="00AE35C2">
        <w:rPr>
          <w:spacing w:val="-5"/>
        </w:rPr>
        <w:t xml:space="preserve"> </w:t>
      </w:r>
      <w:r w:rsidRPr="00AE35C2">
        <w:rPr>
          <w:spacing w:val="-5"/>
          <w:lang w:val="en-US"/>
        </w:rPr>
        <w:t>price</w:t>
      </w:r>
      <w:r w:rsidRPr="00AE35C2">
        <w:rPr>
          <w:spacing w:val="-5"/>
        </w:rPr>
        <w:t>) με διακύμανση έως 20% της τιμής προμήθειας, ήτοι στα 160 €/</w:t>
      </w:r>
      <w:proofErr w:type="spellStart"/>
      <w:r w:rsidRPr="00AE35C2">
        <w:rPr>
          <w:spacing w:val="-5"/>
        </w:rPr>
        <w:t>MWh</w:t>
      </w:r>
      <w:proofErr w:type="spellEnd"/>
      <w:r w:rsidRPr="00AE35C2">
        <w:rPr>
          <w:spacing w:val="-5"/>
        </w:rPr>
        <w:t xml:space="preserve">. Η </w:t>
      </w:r>
      <w:proofErr w:type="spellStart"/>
      <w:r w:rsidRPr="00AE35C2">
        <w:rPr>
          <w:spacing w:val="-5"/>
        </w:rPr>
        <w:t>μοναδιαία</w:t>
      </w:r>
      <w:proofErr w:type="spellEnd"/>
      <w:r w:rsidRPr="00AE35C2">
        <w:rPr>
          <w:spacing w:val="-5"/>
        </w:rPr>
        <w:t xml:space="preserve"> διαφορά υπολογίζεται στα 40 €/</w:t>
      </w:r>
      <w:proofErr w:type="spellStart"/>
      <w:r w:rsidRPr="00AE35C2">
        <w:rPr>
          <w:spacing w:val="-5"/>
        </w:rPr>
        <w:t>MWh</w:t>
      </w:r>
      <w:proofErr w:type="spellEnd"/>
      <w:r w:rsidRPr="00AE35C2">
        <w:rPr>
          <w:spacing w:val="-5"/>
        </w:rPr>
        <w:t xml:space="preserve"> και το συνολικό κόστος για την ποσότητα των 1,14 </w:t>
      </w:r>
      <w:proofErr w:type="spellStart"/>
      <w:r w:rsidRPr="00AE35C2">
        <w:rPr>
          <w:spacing w:val="-5"/>
          <w:lang w:val="en-US"/>
        </w:rPr>
        <w:t>TWh</w:t>
      </w:r>
      <w:proofErr w:type="spellEnd"/>
      <w:r w:rsidRPr="00AE35C2">
        <w:rPr>
          <w:spacing w:val="-5"/>
        </w:rPr>
        <w:t xml:space="preserve"> </w:t>
      </w:r>
      <w:r w:rsidRPr="00AE35C2">
        <w:rPr>
          <w:spacing w:val="-5"/>
          <w:u w:val="single"/>
        </w:rPr>
        <w:t xml:space="preserve">προϋπολογίζεται στα </w:t>
      </w:r>
      <w:r w:rsidRPr="00AE35C2">
        <w:rPr>
          <w:b/>
          <w:bCs/>
          <w:spacing w:val="-5"/>
          <w:u w:val="single"/>
        </w:rPr>
        <w:t>45,6 εκ. €</w:t>
      </w:r>
      <w:r w:rsidRPr="00AE35C2">
        <w:rPr>
          <w:spacing w:val="-5"/>
        </w:rPr>
        <w:t>.</w:t>
      </w:r>
    </w:p>
    <w:p w14:paraId="7E7A3E8F" w14:textId="77777777" w:rsidR="003B452E" w:rsidRPr="00AE35C2" w:rsidRDefault="003B452E" w:rsidP="00570B99">
      <w:pPr>
        <w:pStyle w:val="a7"/>
        <w:numPr>
          <w:ilvl w:val="0"/>
          <w:numId w:val="4"/>
        </w:numPr>
        <w:tabs>
          <w:tab w:val="left" w:pos="720"/>
        </w:tabs>
        <w:spacing w:before="120" w:after="120" w:line="276" w:lineRule="auto"/>
        <w:contextualSpacing w:val="0"/>
        <w:jc w:val="both"/>
        <w:rPr>
          <w:spacing w:val="-5"/>
          <w:kern w:val="28"/>
          <w:u w:val="single"/>
          <w:lang w:eastAsia="en-US"/>
        </w:rPr>
      </w:pPr>
      <w:r w:rsidRPr="00AE35C2">
        <w:rPr>
          <w:spacing w:val="-5"/>
          <w:kern w:val="28"/>
          <w:u w:val="single"/>
          <w:lang w:eastAsia="en-US"/>
        </w:rPr>
        <w:t>Κεφαλαιουχικό κόστος διατήρησης αποθεμάτων ΦΑ</w:t>
      </w:r>
    </w:p>
    <w:p w14:paraId="32BEE3D1" w14:textId="77777777" w:rsidR="003B452E" w:rsidRPr="00AE35C2" w:rsidRDefault="003B452E" w:rsidP="00570B99">
      <w:pPr>
        <w:pStyle w:val="a7"/>
        <w:tabs>
          <w:tab w:val="left" w:pos="720"/>
        </w:tabs>
        <w:spacing w:before="120" w:after="120" w:line="276" w:lineRule="auto"/>
        <w:ind w:left="360"/>
        <w:contextualSpacing w:val="0"/>
        <w:jc w:val="both"/>
        <w:rPr>
          <w:b/>
          <w:bCs/>
          <w:i/>
          <w:iCs/>
          <w:spacing w:val="-5"/>
        </w:rPr>
      </w:pPr>
      <w:r w:rsidRPr="00AE35C2">
        <w:t>Σ</w:t>
      </w:r>
      <w:r w:rsidRPr="00AE35C2">
        <w:rPr>
          <w:spacing w:val="-5"/>
        </w:rPr>
        <w:t>ε ό,τι αφορά τον υπολογισμό του κεφαλαιουχικού κόστους διατήρησης αποθεμάτων ΦΑ, για χρονική διάρκεια από την ημερομηνία προμήθειας μέχρι την ημερομηνία έγχυσής του στο ΕΣΜΦΑ, με μέγιστη διάρκεια 7 μήνες: α) Για τον υπολογισμό του κεφαλαιουχικού κόστους λαμβάνεται υπόψη το κόστος αγοράς του ΦΑ και απόδοση 3,91%, σύμφωνα με το τελευταίο εγκεκριμένο κόστος δανεισμού (</w:t>
      </w:r>
      <w:proofErr w:type="spellStart"/>
      <w:r w:rsidRPr="00AE35C2">
        <w:rPr>
          <w:spacing w:val="-5"/>
        </w:rPr>
        <w:t>Debt</w:t>
      </w:r>
      <w:proofErr w:type="spellEnd"/>
      <w:r w:rsidRPr="00AE35C2">
        <w:rPr>
          <w:spacing w:val="-5"/>
        </w:rPr>
        <w:t xml:space="preserve"> </w:t>
      </w:r>
      <w:proofErr w:type="spellStart"/>
      <w:r w:rsidRPr="00AE35C2">
        <w:rPr>
          <w:spacing w:val="-5"/>
        </w:rPr>
        <w:t>Interest</w:t>
      </w:r>
      <w:proofErr w:type="spellEnd"/>
      <w:r w:rsidRPr="00AE35C2">
        <w:rPr>
          <w:spacing w:val="-5"/>
        </w:rPr>
        <w:t xml:space="preserve"> </w:t>
      </w:r>
      <w:proofErr w:type="spellStart"/>
      <w:r w:rsidRPr="00AE35C2">
        <w:rPr>
          <w:spacing w:val="-5"/>
        </w:rPr>
        <w:t>Rate</w:t>
      </w:r>
      <w:proofErr w:type="spellEnd"/>
      <w:r w:rsidRPr="00AE35C2">
        <w:rPr>
          <w:spacing w:val="-5"/>
        </w:rPr>
        <w:t>) του ΔΕΣΦΑ, όπως αυτό αναφέρεται στην Απόφαση ΡΑΕ 540/2019. β) Εφαρμόζοντας την ανωτέρω απόδοση επί τιμής προμήθειας ΦΑ στο ύψος των 200 €/</w:t>
      </w:r>
      <w:proofErr w:type="spellStart"/>
      <w:r w:rsidRPr="00AE35C2">
        <w:rPr>
          <w:spacing w:val="-5"/>
        </w:rPr>
        <w:t>MWh</w:t>
      </w:r>
      <w:proofErr w:type="spellEnd"/>
      <w:r w:rsidRPr="00AE35C2">
        <w:rPr>
          <w:spacing w:val="-5"/>
        </w:rPr>
        <w:t xml:space="preserve">) (η τιμή προμήθειας που τελικά αποζημιώνεται προκύπτει από τα τιμολόγια προμήθειας), η </w:t>
      </w:r>
      <w:proofErr w:type="spellStart"/>
      <w:r w:rsidRPr="00AE35C2">
        <w:rPr>
          <w:spacing w:val="-5"/>
        </w:rPr>
        <w:lastRenderedPageBreak/>
        <w:t>μοναδιαία</w:t>
      </w:r>
      <w:proofErr w:type="spellEnd"/>
      <w:r w:rsidRPr="00AE35C2">
        <w:rPr>
          <w:spacing w:val="-5"/>
        </w:rPr>
        <w:t xml:space="preserve"> τιμή του ανταλλάγματος προϋπολογίζεται σε </w:t>
      </w:r>
      <w:r w:rsidRPr="00AE35C2">
        <w:rPr>
          <w:b/>
          <w:bCs/>
          <w:spacing w:val="-5"/>
        </w:rPr>
        <w:t>7,82 €/</w:t>
      </w:r>
      <w:proofErr w:type="spellStart"/>
      <w:r w:rsidRPr="00AE35C2">
        <w:rPr>
          <w:b/>
          <w:bCs/>
          <w:spacing w:val="-5"/>
        </w:rPr>
        <w:t>MWh</w:t>
      </w:r>
      <w:proofErr w:type="spellEnd"/>
      <w:r w:rsidRPr="00AE35C2">
        <w:rPr>
          <w:spacing w:val="-5"/>
        </w:rPr>
        <w:t xml:space="preserve"> ανά έτος. Στον υπολογισμό του κεφαλαιουχικού κόστους διατήρησης λαμβάνεται υπόψιν η ημερήσια μείωση του αποθέματος με αδιάλειπτη ροή κατά 7.522 </w:t>
      </w:r>
      <w:proofErr w:type="spellStart"/>
      <w:r w:rsidRPr="00AE35C2">
        <w:rPr>
          <w:spacing w:val="-5"/>
        </w:rPr>
        <w:t>ΜWh</w:t>
      </w:r>
      <w:proofErr w:type="spellEnd"/>
      <w:r w:rsidRPr="00AE35C2">
        <w:rPr>
          <w:spacing w:val="-5"/>
        </w:rPr>
        <w:t>/ημέρα, με ημερομηνία έναρξης την 1</w:t>
      </w:r>
      <w:r w:rsidRPr="00AE35C2">
        <w:rPr>
          <w:spacing w:val="-5"/>
          <w:vertAlign w:val="superscript"/>
        </w:rPr>
        <w:t>η</w:t>
      </w:r>
      <w:r w:rsidRPr="00AE35C2">
        <w:rPr>
          <w:spacing w:val="-5"/>
        </w:rPr>
        <w:t xml:space="preserve"> Νοεμβρίου 2022 και το συνολικό κόστος </w:t>
      </w:r>
      <w:r w:rsidRPr="00AE35C2">
        <w:rPr>
          <w:spacing w:val="-5"/>
          <w:u w:val="single"/>
        </w:rPr>
        <w:t xml:space="preserve">προϋπολογίζεται στα </w:t>
      </w:r>
      <w:r w:rsidRPr="00AE35C2">
        <w:rPr>
          <w:b/>
          <w:bCs/>
          <w:spacing w:val="-5"/>
          <w:u w:val="single"/>
        </w:rPr>
        <w:t>3,35 εκ. €</w:t>
      </w:r>
      <w:r w:rsidRPr="00AE35C2">
        <w:rPr>
          <w:b/>
          <w:bCs/>
          <w:spacing w:val="-5"/>
        </w:rPr>
        <w:t>.</w:t>
      </w:r>
      <w:r w:rsidRPr="00AE35C2">
        <w:rPr>
          <w:spacing w:val="-5"/>
        </w:rPr>
        <w:t xml:space="preserve"> Οι υπόχρεοι που συνάπτουν Συμβόλαιο Διαφορών με το ΔΕΣΦΑ θα αποζημιωθούν το κεφαλαιουχικό κόστος διατήρησης αποθεμάτων ΦΑ μέσω της μοναδιαίας τιμής </w:t>
      </w:r>
      <w:proofErr w:type="spellStart"/>
      <w:r w:rsidRPr="00AE35C2">
        <w:rPr>
          <w:spacing w:val="-5"/>
        </w:rPr>
        <w:t>strike</w:t>
      </w:r>
      <w:proofErr w:type="spellEnd"/>
      <w:r w:rsidRPr="00AE35C2">
        <w:rPr>
          <w:spacing w:val="-5"/>
        </w:rPr>
        <w:t xml:space="preserve"> </w:t>
      </w:r>
      <w:proofErr w:type="spellStart"/>
      <w:r w:rsidRPr="00AE35C2">
        <w:rPr>
          <w:spacing w:val="-5"/>
        </w:rPr>
        <w:t>price</w:t>
      </w:r>
      <w:proofErr w:type="spellEnd"/>
      <w:r w:rsidRPr="00AE35C2">
        <w:rPr>
          <w:spacing w:val="-5"/>
        </w:rPr>
        <w:t xml:space="preserve"> του συμβολαίου τους.</w:t>
      </w:r>
    </w:p>
    <w:p w14:paraId="6036AA1B" w14:textId="77777777" w:rsidR="003B452E" w:rsidRPr="00AE35C2" w:rsidRDefault="003B452E" w:rsidP="00570B99">
      <w:pPr>
        <w:pStyle w:val="BodyTextNumbers"/>
        <w:tabs>
          <w:tab w:val="clear" w:pos="567"/>
        </w:tabs>
        <w:spacing w:line="276" w:lineRule="auto"/>
        <w:ind w:left="360" w:firstLine="0"/>
        <w:rPr>
          <w:sz w:val="24"/>
          <w:szCs w:val="24"/>
        </w:rPr>
      </w:pPr>
      <w:r w:rsidRPr="00AE35C2">
        <w:rPr>
          <w:sz w:val="24"/>
          <w:szCs w:val="24"/>
        </w:rPr>
        <w:t xml:space="preserve">Σύμφωνα με τα ανωτέρω, </w:t>
      </w:r>
      <w:r w:rsidRPr="00AE35C2">
        <w:rPr>
          <w:sz w:val="24"/>
          <w:szCs w:val="24"/>
          <w:u w:val="single"/>
        </w:rPr>
        <w:t xml:space="preserve">το άνω όριο κόστους για την κάλυψη της έκτακτης δαπάνης για τη διατήρηση αποθέματος ΦΑ σε υπόγεια υποδομή αποθήκευσης άλλου Κράτους – Μέλους </w:t>
      </w:r>
      <w:proofErr w:type="spellStart"/>
      <w:r w:rsidRPr="00AE35C2">
        <w:rPr>
          <w:sz w:val="24"/>
          <w:szCs w:val="24"/>
          <w:u w:val="single"/>
        </w:rPr>
        <w:t>οριοθετείται</w:t>
      </w:r>
      <w:proofErr w:type="spellEnd"/>
      <w:r w:rsidRPr="00AE35C2">
        <w:rPr>
          <w:sz w:val="24"/>
          <w:szCs w:val="24"/>
          <w:u w:val="single"/>
        </w:rPr>
        <w:t xml:space="preserve"> στο ύψος των </w:t>
      </w:r>
      <w:r w:rsidRPr="00AE35C2">
        <w:rPr>
          <w:b/>
          <w:bCs/>
          <w:sz w:val="24"/>
          <w:szCs w:val="24"/>
          <w:u w:val="single"/>
        </w:rPr>
        <w:t>65,85</w:t>
      </w:r>
      <w:r w:rsidRPr="00AE35C2">
        <w:rPr>
          <w:b/>
          <w:bCs/>
          <w:color w:val="FF0000"/>
          <w:sz w:val="24"/>
          <w:szCs w:val="24"/>
          <w:u w:val="single"/>
        </w:rPr>
        <w:t xml:space="preserve"> </w:t>
      </w:r>
      <w:r w:rsidRPr="00AE35C2">
        <w:rPr>
          <w:b/>
          <w:bCs/>
          <w:sz w:val="24"/>
          <w:szCs w:val="24"/>
          <w:u w:val="single"/>
        </w:rPr>
        <w:t>εκ. €</w:t>
      </w:r>
      <w:r w:rsidRPr="00AE35C2">
        <w:rPr>
          <w:sz w:val="24"/>
          <w:szCs w:val="24"/>
        </w:rPr>
        <w:t xml:space="preserve">. Το τελικό κόστος της εν λόγω δράσεως προσδιορίζεται κατά την υλοποίησή της βάσει των </w:t>
      </w:r>
      <w:proofErr w:type="spellStart"/>
      <w:r w:rsidRPr="00AE35C2">
        <w:rPr>
          <w:sz w:val="24"/>
          <w:szCs w:val="24"/>
        </w:rPr>
        <w:t>επικαιροποιημένων</w:t>
      </w:r>
      <w:proofErr w:type="spellEnd"/>
      <w:r w:rsidRPr="00AE35C2">
        <w:rPr>
          <w:sz w:val="24"/>
          <w:szCs w:val="24"/>
        </w:rPr>
        <w:t xml:space="preserve"> κατά την εν λόγω υλοποίηση σχετικών παραμέτρων κόστους, λαμβάνοντας επιπλέον υπόψη τυχόν κόστη που θα προκύψουν από τις ενέργειες δέσμευσης δυναμικότητας για την αποθήκευση ΦΑ στο γειτονικό Κράτος – Μέλος ως αποτέλεσμα των διαγωνιστικών διαδικασιών.</w:t>
      </w:r>
    </w:p>
    <w:p w14:paraId="3215960D" w14:textId="625759D5" w:rsidR="003B452E" w:rsidRPr="00AE35C2" w:rsidRDefault="00570B99" w:rsidP="00570B99">
      <w:pPr>
        <w:pStyle w:val="BodyTextNumbers"/>
        <w:tabs>
          <w:tab w:val="clear" w:pos="567"/>
        </w:tabs>
        <w:spacing w:line="276" w:lineRule="auto"/>
        <w:ind w:left="360" w:firstLine="0"/>
        <w:rPr>
          <w:sz w:val="24"/>
          <w:szCs w:val="24"/>
        </w:rPr>
      </w:pPr>
      <w:r w:rsidRPr="00AE35C2">
        <w:rPr>
          <w:rFonts w:ascii="Calibri" w:hAnsi="Calibri" w:cs="Calibri"/>
          <w:b/>
          <w:bCs/>
          <w:color w:val="808080"/>
          <w:kern w:val="28"/>
          <w:sz w:val="28"/>
          <w:szCs w:val="28"/>
          <w:lang w:eastAsia="en-US"/>
        </w:rPr>
        <w:t xml:space="preserve">Ε. </w:t>
      </w:r>
      <w:r w:rsidR="003B452E" w:rsidRPr="00AE35C2">
        <w:rPr>
          <w:rFonts w:ascii="Calibri" w:hAnsi="Calibri" w:cs="Calibri"/>
          <w:b/>
          <w:bCs/>
          <w:color w:val="808080"/>
          <w:kern w:val="28"/>
          <w:sz w:val="28"/>
          <w:szCs w:val="28"/>
          <w:lang w:eastAsia="en-US"/>
        </w:rPr>
        <w:t xml:space="preserve">Ως προς την εκτίμηση της Δράσης Δ4 του Σχεδίου Προληπτικής Δράσης (διατήρηση αποθέματος ασφαλείας ΦΑ στη </w:t>
      </w:r>
      <w:proofErr w:type="spellStart"/>
      <w:r w:rsidR="003B452E" w:rsidRPr="00AE35C2">
        <w:rPr>
          <w:rFonts w:ascii="Calibri" w:hAnsi="Calibri" w:cs="Calibri"/>
          <w:b/>
          <w:bCs/>
          <w:color w:val="808080"/>
          <w:kern w:val="28"/>
          <w:sz w:val="28"/>
          <w:szCs w:val="28"/>
          <w:lang w:eastAsia="en-US"/>
        </w:rPr>
        <w:t>Ρεβυθούσα</w:t>
      </w:r>
      <w:proofErr w:type="spellEnd"/>
      <w:r w:rsidR="003B452E" w:rsidRPr="00AE35C2">
        <w:rPr>
          <w:rFonts w:ascii="Calibri" w:hAnsi="Calibri" w:cs="Calibri"/>
          <w:b/>
          <w:bCs/>
          <w:color w:val="808080"/>
          <w:kern w:val="28"/>
          <w:sz w:val="28"/>
          <w:szCs w:val="28"/>
          <w:lang w:eastAsia="en-US"/>
        </w:rPr>
        <w:t xml:space="preserve"> από μονάδες ΗΠ με καύσιμο ΦΑ χωρίς τη δυνατότητα εναλλαγής καυσίμου)</w:t>
      </w:r>
    </w:p>
    <w:p w14:paraId="012A3D4E" w14:textId="77777777" w:rsidR="003B452E" w:rsidRPr="00AE35C2" w:rsidRDefault="003B452E" w:rsidP="00570B99">
      <w:pPr>
        <w:pStyle w:val="a7"/>
        <w:numPr>
          <w:ilvl w:val="0"/>
          <w:numId w:val="4"/>
        </w:numPr>
        <w:tabs>
          <w:tab w:val="left" w:pos="720"/>
        </w:tabs>
        <w:spacing w:before="120" w:after="120" w:line="276" w:lineRule="auto"/>
        <w:contextualSpacing w:val="0"/>
        <w:jc w:val="both"/>
        <w:rPr>
          <w:spacing w:val="-5"/>
        </w:rPr>
      </w:pPr>
      <w:r w:rsidRPr="00AE35C2">
        <w:t>Ο</w:t>
      </w:r>
      <w:r w:rsidRPr="00AE35C2">
        <w:rPr>
          <w:spacing w:val="-5"/>
        </w:rPr>
        <w:t xml:space="preserve">ι κάτοχοι άδειας παραγωγής ηλεκτρικής ενέργειας βάσει της αδείας τους, έχουν υποχρέωση διασφάλισης αδιάλειπτης λειτουργίας των μονάδων τους με καύσιμο φυσικό αέριο για πέντε (5) τουλάχιστον ημέρες, σε περίπτωση μη προγραμματισμένης διακοπής της παροχής φυσικού αερίου και ιδίως σε περίπτωση έκτακτης ανάγκης στο ΕΣΦΑ, κατά τα προβλεπόμενα στο ισχύον νομοθετικό και ρυθμιστικό πλαίσιο. Ορισμένοι εξ αυτών έχουν επιλέξει να πληρούν τον εν λόγω ειδικό όρο της αδείας τους μέσω διατήρησης αποθέματος ΦΑ σε Εγκατάσταση Αποθήκευσης. </w:t>
      </w:r>
    </w:p>
    <w:p w14:paraId="4C7E7EE0" w14:textId="77777777" w:rsidR="003B452E" w:rsidRPr="00AE35C2" w:rsidRDefault="003B452E" w:rsidP="00570B99">
      <w:pPr>
        <w:pStyle w:val="a7"/>
        <w:numPr>
          <w:ilvl w:val="0"/>
          <w:numId w:val="4"/>
        </w:numPr>
        <w:tabs>
          <w:tab w:val="left" w:pos="720"/>
        </w:tabs>
        <w:spacing w:before="120" w:after="120" w:line="276" w:lineRule="auto"/>
        <w:contextualSpacing w:val="0"/>
        <w:jc w:val="both"/>
        <w:rPr>
          <w:spacing w:val="-5"/>
        </w:rPr>
      </w:pPr>
      <w:r w:rsidRPr="00AE35C2">
        <w:t>Ο</w:t>
      </w:r>
      <w:r w:rsidRPr="00AE35C2">
        <w:rPr>
          <w:spacing w:val="-5"/>
        </w:rPr>
        <w:t xml:space="preserve"> ως άνω ειδικός όρος αποσκοπεί στη διασφάλιση αντιμετώπισης καταστάσεων κρίσεως εφοδιασμού με φυσικό αέριο. Λαμβάνοντας υπόψη τις τρέχουσες περιστάσεις, ιδίως την έλλειψη εγκατάστασης (μακροχρόνιας) αποθήκευσης φυσικού αερίου, ο όρος αυτός δύναται να επιτευχθεί για τη χειμερινή περίοδο 2022 – 2023 μέσω της διατήρησης αποθέματος ΥΦΑ στον τερματικό σταθμό ΥΦΑ της </w:t>
      </w:r>
      <w:proofErr w:type="spellStart"/>
      <w:r w:rsidRPr="00AE35C2">
        <w:rPr>
          <w:spacing w:val="-5"/>
        </w:rPr>
        <w:t>Ρεβυθούσας</w:t>
      </w:r>
      <w:proofErr w:type="spellEnd"/>
      <w:r w:rsidRPr="00AE35C2">
        <w:rPr>
          <w:spacing w:val="-5"/>
        </w:rPr>
        <w:t xml:space="preserve">, θεωρώντας ότι και η πλωτή δεξαμενή (πλοίο ΥΦΑ) που βρίσκεται ήδη στο αγκυροβόλιο του κόλπου Μεγάρων, λογίζεται, κατά το </w:t>
      </w:r>
      <w:proofErr w:type="spellStart"/>
      <w:r w:rsidRPr="00AE35C2">
        <w:rPr>
          <w:spacing w:val="-5"/>
        </w:rPr>
        <w:t>εγκριθέν</w:t>
      </w:r>
      <w:proofErr w:type="spellEnd"/>
      <w:r w:rsidRPr="00AE35C2">
        <w:rPr>
          <w:spacing w:val="-5"/>
        </w:rPr>
        <w:t xml:space="preserve"> Σχέδιο Προληπτικής Δράσης, ως αναπόσπαστο τμήμα της εγκατάστασης ΥΦΑ στη </w:t>
      </w:r>
      <w:proofErr w:type="spellStart"/>
      <w:r w:rsidRPr="00AE35C2">
        <w:rPr>
          <w:spacing w:val="-5"/>
        </w:rPr>
        <w:t>Ρεβυθούσα</w:t>
      </w:r>
      <w:proofErr w:type="spellEnd"/>
      <w:r w:rsidRPr="00AE35C2">
        <w:rPr>
          <w:spacing w:val="-5"/>
        </w:rPr>
        <w:t>. Η διατήρηση αποθέματος ΥΦΑ και συγκεκριμένα η αποθήκευσή του ολοκληρώνεται πριν την 1</w:t>
      </w:r>
      <w:r w:rsidRPr="00AE35C2">
        <w:rPr>
          <w:spacing w:val="-5"/>
          <w:vertAlign w:val="superscript"/>
        </w:rPr>
        <w:t>η</w:t>
      </w:r>
      <w:r w:rsidRPr="00AE35C2">
        <w:rPr>
          <w:spacing w:val="-5"/>
        </w:rPr>
        <w:t xml:space="preserve"> Νοεμβρίου 2022, για χρονική διάρκεια πέντε (5) μηνών από την ημερομηνία αυτή (1 Νοεμβρίου – 31 Μαρτίου). </w:t>
      </w:r>
    </w:p>
    <w:p w14:paraId="2BD6314B" w14:textId="77777777" w:rsidR="003B452E" w:rsidRPr="00AE35C2" w:rsidRDefault="003B452E" w:rsidP="00570B99">
      <w:pPr>
        <w:pStyle w:val="a7"/>
        <w:numPr>
          <w:ilvl w:val="0"/>
          <w:numId w:val="4"/>
        </w:numPr>
        <w:tabs>
          <w:tab w:val="left" w:pos="720"/>
        </w:tabs>
        <w:spacing w:before="120" w:after="120" w:line="276" w:lineRule="auto"/>
        <w:contextualSpacing w:val="0"/>
        <w:jc w:val="both"/>
        <w:rPr>
          <w:spacing w:val="-5"/>
        </w:rPr>
      </w:pPr>
      <w:r w:rsidRPr="00AE35C2">
        <w:rPr>
          <w:spacing w:val="-5"/>
        </w:rPr>
        <w:t xml:space="preserve">Σύμφωνα με το </w:t>
      </w:r>
      <w:proofErr w:type="spellStart"/>
      <w:r w:rsidRPr="00AE35C2">
        <w:rPr>
          <w:spacing w:val="-5"/>
        </w:rPr>
        <w:t>εγκριθέν</w:t>
      </w:r>
      <w:proofErr w:type="spellEnd"/>
      <w:r w:rsidRPr="00AE35C2">
        <w:rPr>
          <w:spacing w:val="-5"/>
        </w:rPr>
        <w:t xml:space="preserve"> Σχέδιο Προληπτικής Δράσης, το</w:t>
      </w:r>
      <w:r w:rsidRPr="00AE35C2">
        <w:rPr>
          <w:b/>
          <w:spacing w:val="-5"/>
        </w:rPr>
        <w:t xml:space="preserve"> </w:t>
      </w:r>
      <w:r w:rsidRPr="00AE35C2">
        <w:rPr>
          <w:spacing w:val="-5"/>
        </w:rPr>
        <w:t xml:space="preserve">ύψος αποθέματος ασφαλείας που μπορεί να διατηρηθεί στα πλαίσια υλοποίησης της δράσης Δ4 </w:t>
      </w:r>
      <w:r w:rsidRPr="00AE35C2">
        <w:rPr>
          <w:rFonts w:eastAsia="Calibri"/>
          <w:bCs/>
          <w:spacing w:val="-5"/>
        </w:rPr>
        <w:t>για σκοπούς ηλεκτροπαραγωγής για τη χειμερινή περίοδο</w:t>
      </w:r>
      <w:r w:rsidRPr="00AE35C2">
        <w:rPr>
          <w:rFonts w:eastAsia="Calibri"/>
          <w:bCs/>
          <w:color w:val="FF0000"/>
          <w:spacing w:val="-5"/>
        </w:rPr>
        <w:t xml:space="preserve"> </w:t>
      </w:r>
      <w:r w:rsidRPr="00AE35C2">
        <w:rPr>
          <w:rFonts w:eastAsia="Calibri"/>
          <w:bCs/>
          <w:spacing w:val="-5"/>
        </w:rPr>
        <w:t xml:space="preserve">2022-2023 </w:t>
      </w:r>
      <w:r w:rsidRPr="00AE35C2">
        <w:rPr>
          <w:spacing w:val="-5"/>
        </w:rPr>
        <w:t xml:space="preserve">υπολογίζεται για κάθε υπόχρεο κάτοχο άδειας παραγωγής ηλεκτρικής ενέργειας, στην άδεια του οποίου απαντάται σχετικός ειδικός όρος, και αναλογεί σε πλήρη φόρτιση 16 ωρών την ημέρα </w:t>
      </w:r>
      <w:r w:rsidRPr="00AE35C2">
        <w:rPr>
          <w:spacing w:val="-5"/>
        </w:rPr>
        <w:lastRenderedPageBreak/>
        <w:t xml:space="preserve">και για 5 ημέρες για την εκάστοτε μονάδα ηλεκτροπαραγωγής που αφορά (βλ. Πίνακα 6). </w:t>
      </w:r>
    </w:p>
    <w:p w14:paraId="532DC7FC" w14:textId="3FCA6C1B" w:rsidR="003B452E" w:rsidRPr="00AE35C2" w:rsidRDefault="003B452E" w:rsidP="00570B99">
      <w:pPr>
        <w:pStyle w:val="a7"/>
        <w:widowControl w:val="0"/>
        <w:numPr>
          <w:ilvl w:val="0"/>
          <w:numId w:val="4"/>
        </w:numPr>
        <w:spacing w:after="160" w:line="276" w:lineRule="auto"/>
        <w:contextualSpacing w:val="0"/>
        <w:jc w:val="both"/>
        <w:rPr>
          <w:spacing w:val="-5"/>
        </w:rPr>
      </w:pPr>
      <w:r w:rsidRPr="00AE35C2">
        <w:rPr>
          <w:spacing w:val="-5"/>
        </w:rPr>
        <w:t>Σ</w:t>
      </w:r>
      <w:r w:rsidRPr="00AE35C2">
        <w:t xml:space="preserve">ύμφωνα με το </w:t>
      </w:r>
      <w:proofErr w:type="spellStart"/>
      <w:r w:rsidRPr="00AE35C2">
        <w:t>εγκριθέν</w:t>
      </w:r>
      <w:proofErr w:type="spellEnd"/>
      <w:r w:rsidRPr="00AE35C2">
        <w:t xml:space="preserve"> Σχέδιο Προληπτικής Δράσης</w:t>
      </w:r>
      <w:r w:rsidRPr="00AE35C2" w:rsidDel="00AA228F">
        <w:t xml:space="preserve"> </w:t>
      </w:r>
      <w:r w:rsidRPr="00AE35C2">
        <w:rPr>
          <w:spacing w:val="-5"/>
        </w:rPr>
        <w:t xml:space="preserve">αποζημιώνεται το </w:t>
      </w:r>
      <w:bookmarkStart w:id="10" w:name="_Hlk115351159"/>
      <w:r w:rsidRPr="00AE35C2">
        <w:rPr>
          <w:spacing w:val="-5"/>
        </w:rPr>
        <w:t xml:space="preserve">κόστος για τη χρήση της υποδομής </w:t>
      </w:r>
      <w:bookmarkEnd w:id="10"/>
      <w:r w:rsidRPr="00AE35C2">
        <w:rPr>
          <w:spacing w:val="-5"/>
        </w:rPr>
        <w:t xml:space="preserve">για τη διατήρηση του συνόλου του αποθέματος ασφαλείας και το κεφαλαιουχικό κόστος διατήρησης του αποθέματος. Το κόστος προμήθειας ΥΦΑ, οι απώλειες ΥΦΑ και λοιπά κόστη που συνεπάγεται η διατήρηση αποθέματος θα βαρύνουν αποκλειστικά τον εκάστοτε υπόχρεο ΗΠ και θα ανακτώνται από την αγορά ηλεκτρικής ενέργειας μέσω της συμπερίληψης του κόστους αυτού στις προσφορές για παραγωγή ηλεκτρικής ενέργειας στο πλαίσιο λειτουργίας της αγοράς. Η ετήσια αποζημίωση για τη χρήση της υποδομής για διατήρηση αποθέματος ΥΦΑ αναλύεται ανά μονάδα ηλεκτροπαραγωγής στον Πίνακα 6, λαμβάνοντας υπόψη μόνο το κεφαλαιουχικό κόστος διατήρησης του αποθέματος, καθώς, λόγω της επαύξησης του αποθηκευτικού χώρου της </w:t>
      </w:r>
      <w:proofErr w:type="spellStart"/>
      <w:r w:rsidRPr="00AE35C2">
        <w:rPr>
          <w:spacing w:val="-5"/>
        </w:rPr>
        <w:t>Ρεβυθούσας</w:t>
      </w:r>
      <w:proofErr w:type="spellEnd"/>
      <w:r w:rsidRPr="00AE35C2">
        <w:rPr>
          <w:spacing w:val="-5"/>
        </w:rPr>
        <w:t xml:space="preserve"> με την προσθήκη της πλωτής δεξαμενής (δράση Δ2), και δεδομένου ότι το ύψος του αποθέματος ασφαλείας είναι μικρότερο της επαύξησης αυτής, δε λογίζεται περαιτέρω κόστος χρήσης της υποδομής διότι αυτό αποζημιώνεται μέσω της υλοποίησης της δράσης Δ2 κατά τα ειδικώς οριζόμενα στην Ενότητα </w:t>
      </w:r>
      <w:r w:rsidR="001A4FBA" w:rsidRPr="00AE35C2">
        <w:rPr>
          <w:spacing w:val="-5"/>
        </w:rPr>
        <w:t>Γ</w:t>
      </w:r>
      <w:r w:rsidRPr="00AE35C2">
        <w:rPr>
          <w:spacing w:val="-5"/>
        </w:rPr>
        <w:t xml:space="preserve"> </w:t>
      </w:r>
      <w:r w:rsidR="00F13A10" w:rsidRPr="00AE35C2">
        <w:rPr>
          <w:spacing w:val="-5"/>
        </w:rPr>
        <w:t>του παρόντος</w:t>
      </w:r>
      <w:r w:rsidRPr="00AE35C2">
        <w:rPr>
          <w:spacing w:val="-5"/>
        </w:rPr>
        <w:t xml:space="preserve">. </w:t>
      </w:r>
    </w:p>
    <w:p w14:paraId="1E5E022A" w14:textId="77777777" w:rsidR="00301148" w:rsidRPr="00AE35C2" w:rsidRDefault="00301148" w:rsidP="00570B99">
      <w:pPr>
        <w:tabs>
          <w:tab w:val="left" w:pos="720"/>
        </w:tabs>
        <w:suppressAutoHyphens/>
        <w:spacing w:before="120" w:after="120" w:line="276" w:lineRule="auto"/>
        <w:jc w:val="both"/>
        <w:rPr>
          <w:bCs/>
          <w:spacing w:val="-5"/>
          <w:sz w:val="22"/>
          <w:szCs w:val="22"/>
          <w:lang w:eastAsia="ar-SA"/>
        </w:rPr>
      </w:pPr>
      <w:r w:rsidRPr="00AE35C2">
        <w:rPr>
          <w:b/>
          <w:spacing w:val="-5"/>
          <w:sz w:val="22"/>
          <w:szCs w:val="22"/>
          <w:lang w:eastAsia="ar-SA"/>
        </w:rPr>
        <w:t xml:space="preserve">Πίνακας 6: </w:t>
      </w:r>
      <w:r w:rsidRPr="00AE35C2">
        <w:rPr>
          <w:bCs/>
          <w:spacing w:val="-5"/>
          <w:sz w:val="22"/>
          <w:szCs w:val="22"/>
          <w:lang w:eastAsia="ar-SA"/>
        </w:rPr>
        <w:t>Προϋπολογιστικό ετήσιο κεφαλαιουχικό κόστος διατήρησης αποθεμάτων ασφαλείας της δράσης Δ4</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426"/>
        <w:gridCol w:w="2037"/>
        <w:gridCol w:w="2789"/>
      </w:tblGrid>
      <w:tr w:rsidR="00301148" w:rsidRPr="00AE35C2" w14:paraId="74D82B42" w14:textId="77777777" w:rsidTr="007816B5">
        <w:trPr>
          <w:jc w:val="center"/>
        </w:trPr>
        <w:tc>
          <w:tcPr>
            <w:tcW w:w="2390" w:type="dxa"/>
            <w:vMerge w:val="restart"/>
            <w:shd w:val="clear" w:color="auto" w:fill="auto"/>
            <w:vAlign w:val="center"/>
          </w:tcPr>
          <w:p w14:paraId="1785C327"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Μονάδα παραγωγής ηλεκτρικής ενέργειας</w:t>
            </w:r>
          </w:p>
        </w:tc>
        <w:tc>
          <w:tcPr>
            <w:tcW w:w="3463" w:type="dxa"/>
            <w:gridSpan w:val="2"/>
            <w:shd w:val="clear" w:color="auto" w:fill="auto"/>
          </w:tcPr>
          <w:p w14:paraId="019C63FF"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Απόθεμα καυσίμου (</w:t>
            </w:r>
            <w:r w:rsidRPr="00AE35C2">
              <w:rPr>
                <w:b/>
                <w:sz w:val="22"/>
                <w:szCs w:val="22"/>
                <w:lang w:val="en-US"/>
              </w:rPr>
              <w:t>m</w:t>
            </w:r>
            <w:r w:rsidRPr="00AE35C2">
              <w:rPr>
                <w:b/>
                <w:sz w:val="22"/>
                <w:szCs w:val="22"/>
                <w:vertAlign w:val="superscript"/>
                <w:lang w:val="en-US"/>
              </w:rPr>
              <w:t>3</w:t>
            </w:r>
            <w:r w:rsidRPr="00AE35C2">
              <w:rPr>
                <w:b/>
                <w:sz w:val="22"/>
                <w:szCs w:val="22"/>
              </w:rPr>
              <w:t xml:space="preserve"> ΥΦΑ)</w:t>
            </w:r>
          </w:p>
        </w:tc>
        <w:tc>
          <w:tcPr>
            <w:tcW w:w="2789" w:type="dxa"/>
            <w:vMerge w:val="restart"/>
            <w:shd w:val="clear" w:color="auto" w:fill="auto"/>
          </w:tcPr>
          <w:p w14:paraId="67B4E349"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p>
          <w:p w14:paraId="21804376"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Κεφαλαιουχικό κόστος διατήρησης αποθεμάτων ασφαλείας</w:t>
            </w:r>
          </w:p>
          <w:p w14:paraId="50A8BFF0"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 x 10</w:t>
            </w:r>
            <w:r w:rsidRPr="00AE35C2">
              <w:rPr>
                <w:b/>
                <w:sz w:val="22"/>
                <w:szCs w:val="22"/>
                <w:vertAlign w:val="superscript"/>
              </w:rPr>
              <w:t>3</w:t>
            </w:r>
            <w:r w:rsidRPr="00AE35C2">
              <w:rPr>
                <w:b/>
                <w:sz w:val="22"/>
                <w:szCs w:val="22"/>
              </w:rPr>
              <w:t>)</w:t>
            </w:r>
          </w:p>
        </w:tc>
      </w:tr>
      <w:tr w:rsidR="00301148" w:rsidRPr="00AE35C2" w14:paraId="600AFFA2" w14:textId="77777777" w:rsidTr="007816B5">
        <w:trPr>
          <w:trHeight w:val="274"/>
          <w:jc w:val="center"/>
        </w:trPr>
        <w:tc>
          <w:tcPr>
            <w:tcW w:w="2390" w:type="dxa"/>
            <w:vMerge/>
            <w:shd w:val="clear" w:color="auto" w:fill="auto"/>
          </w:tcPr>
          <w:p w14:paraId="24007159"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p>
        </w:tc>
        <w:tc>
          <w:tcPr>
            <w:tcW w:w="1426" w:type="dxa"/>
            <w:shd w:val="clear" w:color="auto" w:fill="auto"/>
            <w:vAlign w:val="center"/>
          </w:tcPr>
          <w:p w14:paraId="40092C3D"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lang w:val="en-US"/>
              </w:rPr>
            </w:pPr>
            <w:r w:rsidRPr="00AE35C2">
              <w:rPr>
                <w:b/>
                <w:sz w:val="22"/>
                <w:szCs w:val="22"/>
              </w:rPr>
              <w:t>Ημερήσιο απόθεμα</w:t>
            </w:r>
            <w:r w:rsidRPr="00AE35C2">
              <w:rPr>
                <w:b/>
                <w:sz w:val="22"/>
                <w:szCs w:val="22"/>
                <w:lang w:val="en-US"/>
              </w:rPr>
              <w:t xml:space="preserve"> – </w:t>
            </w:r>
            <w:r w:rsidRPr="00AE35C2">
              <w:rPr>
                <w:b/>
                <w:sz w:val="22"/>
                <w:szCs w:val="22"/>
              </w:rPr>
              <w:t>16</w:t>
            </w:r>
            <w:r w:rsidRPr="00AE35C2">
              <w:rPr>
                <w:b/>
                <w:sz w:val="22"/>
                <w:szCs w:val="22"/>
                <w:lang w:val="en-US"/>
              </w:rPr>
              <w:t>h</w:t>
            </w:r>
          </w:p>
        </w:tc>
        <w:tc>
          <w:tcPr>
            <w:tcW w:w="2037" w:type="dxa"/>
            <w:shd w:val="clear" w:color="auto" w:fill="auto"/>
          </w:tcPr>
          <w:p w14:paraId="3AF2EFE2"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Εκτιμώμενο απόθεμα ασφαλείας – 5 ημερών</w:t>
            </w:r>
          </w:p>
        </w:tc>
        <w:tc>
          <w:tcPr>
            <w:tcW w:w="2789" w:type="dxa"/>
            <w:vMerge/>
            <w:shd w:val="clear" w:color="auto" w:fill="auto"/>
            <w:vAlign w:val="bottom"/>
          </w:tcPr>
          <w:p w14:paraId="14E99522"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p>
        </w:tc>
      </w:tr>
      <w:tr w:rsidR="00301148" w:rsidRPr="00AE35C2" w14:paraId="15C07ECA" w14:textId="77777777" w:rsidTr="007816B5">
        <w:trPr>
          <w:jc w:val="center"/>
        </w:trPr>
        <w:tc>
          <w:tcPr>
            <w:tcW w:w="2390" w:type="dxa"/>
            <w:shd w:val="clear" w:color="auto" w:fill="auto"/>
          </w:tcPr>
          <w:p w14:paraId="20FDD23B" w14:textId="77777777" w:rsidR="00301148" w:rsidRPr="00AE35C2" w:rsidRDefault="00301148" w:rsidP="00570B99">
            <w:pPr>
              <w:suppressAutoHyphens/>
              <w:spacing w:line="276" w:lineRule="auto"/>
              <w:rPr>
                <w:sz w:val="22"/>
                <w:szCs w:val="22"/>
              </w:rPr>
            </w:pPr>
            <w:r w:rsidRPr="00AE35C2">
              <w:rPr>
                <w:sz w:val="22"/>
                <w:szCs w:val="22"/>
              </w:rPr>
              <w:t>Αλιβέρι V</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476D5E2"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1.889</w:t>
            </w:r>
          </w:p>
        </w:tc>
        <w:tc>
          <w:tcPr>
            <w:tcW w:w="2037" w:type="dxa"/>
            <w:tcBorders>
              <w:top w:val="single" w:sz="4" w:space="0" w:color="auto"/>
              <w:left w:val="nil"/>
              <w:bottom w:val="single" w:sz="4" w:space="0" w:color="auto"/>
              <w:right w:val="single" w:sz="4" w:space="0" w:color="auto"/>
            </w:tcBorders>
            <w:shd w:val="clear" w:color="auto" w:fill="auto"/>
            <w:vAlign w:val="center"/>
          </w:tcPr>
          <w:p w14:paraId="1DF81EA3"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9.445</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52BC1D65"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208,36</w:t>
            </w:r>
          </w:p>
        </w:tc>
      </w:tr>
      <w:tr w:rsidR="00301148" w:rsidRPr="00AE35C2" w14:paraId="3923EE68" w14:textId="77777777" w:rsidTr="007816B5">
        <w:trPr>
          <w:jc w:val="center"/>
        </w:trPr>
        <w:tc>
          <w:tcPr>
            <w:tcW w:w="2390" w:type="dxa"/>
            <w:shd w:val="clear" w:color="auto" w:fill="auto"/>
          </w:tcPr>
          <w:p w14:paraId="14CCCFB8" w14:textId="77777777" w:rsidR="00301148" w:rsidRPr="00AE35C2" w:rsidRDefault="00301148" w:rsidP="00570B99">
            <w:pPr>
              <w:suppressAutoHyphens/>
              <w:spacing w:line="276" w:lineRule="auto"/>
              <w:rPr>
                <w:sz w:val="22"/>
                <w:szCs w:val="22"/>
              </w:rPr>
            </w:pPr>
            <w:r w:rsidRPr="00AE35C2">
              <w:rPr>
                <w:sz w:val="22"/>
                <w:szCs w:val="22"/>
              </w:rPr>
              <w:t>Λαύριο V</w:t>
            </w:r>
          </w:p>
        </w:tc>
        <w:tc>
          <w:tcPr>
            <w:tcW w:w="1426" w:type="dxa"/>
            <w:tcBorders>
              <w:top w:val="nil"/>
              <w:left w:val="single" w:sz="4" w:space="0" w:color="auto"/>
              <w:bottom w:val="single" w:sz="4" w:space="0" w:color="auto"/>
              <w:right w:val="single" w:sz="4" w:space="0" w:color="auto"/>
            </w:tcBorders>
            <w:shd w:val="clear" w:color="auto" w:fill="auto"/>
            <w:vAlign w:val="center"/>
          </w:tcPr>
          <w:p w14:paraId="10499280"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1.773</w:t>
            </w:r>
          </w:p>
        </w:tc>
        <w:tc>
          <w:tcPr>
            <w:tcW w:w="2037" w:type="dxa"/>
            <w:tcBorders>
              <w:top w:val="nil"/>
              <w:left w:val="nil"/>
              <w:bottom w:val="single" w:sz="4" w:space="0" w:color="auto"/>
              <w:right w:val="single" w:sz="4" w:space="0" w:color="auto"/>
            </w:tcBorders>
            <w:shd w:val="clear" w:color="auto" w:fill="auto"/>
            <w:vAlign w:val="center"/>
          </w:tcPr>
          <w:p w14:paraId="7185E501"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8.867</w:t>
            </w:r>
          </w:p>
        </w:tc>
        <w:tc>
          <w:tcPr>
            <w:tcW w:w="2789" w:type="dxa"/>
            <w:tcBorders>
              <w:top w:val="nil"/>
              <w:left w:val="single" w:sz="4" w:space="0" w:color="auto"/>
              <w:bottom w:val="single" w:sz="4" w:space="0" w:color="auto"/>
              <w:right w:val="single" w:sz="4" w:space="0" w:color="auto"/>
            </w:tcBorders>
            <w:shd w:val="clear" w:color="auto" w:fill="auto"/>
            <w:vAlign w:val="center"/>
          </w:tcPr>
          <w:p w14:paraId="38AF5385"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195,6</w:t>
            </w:r>
          </w:p>
        </w:tc>
      </w:tr>
      <w:tr w:rsidR="00301148" w:rsidRPr="00AE35C2" w14:paraId="08731FFA" w14:textId="77777777" w:rsidTr="007816B5">
        <w:trPr>
          <w:jc w:val="center"/>
        </w:trPr>
        <w:tc>
          <w:tcPr>
            <w:tcW w:w="2390" w:type="dxa"/>
            <w:shd w:val="clear" w:color="auto" w:fill="auto"/>
          </w:tcPr>
          <w:p w14:paraId="327DE47F" w14:textId="77777777" w:rsidR="00301148" w:rsidRPr="00AE35C2" w:rsidRDefault="00301148" w:rsidP="00570B99">
            <w:pPr>
              <w:suppressAutoHyphens/>
              <w:spacing w:line="276" w:lineRule="auto"/>
              <w:rPr>
                <w:sz w:val="22"/>
                <w:szCs w:val="22"/>
                <w:lang w:val="en-US"/>
              </w:rPr>
            </w:pPr>
            <w:r w:rsidRPr="00AE35C2">
              <w:rPr>
                <w:sz w:val="22"/>
                <w:szCs w:val="22"/>
              </w:rPr>
              <w:t xml:space="preserve">Μεγαλόπολη </w:t>
            </w:r>
            <w:r w:rsidRPr="00AE35C2">
              <w:rPr>
                <w:sz w:val="22"/>
                <w:szCs w:val="22"/>
                <w:lang w:val="en-US"/>
              </w:rPr>
              <w:t>V</w:t>
            </w:r>
          </w:p>
        </w:tc>
        <w:tc>
          <w:tcPr>
            <w:tcW w:w="1426" w:type="dxa"/>
            <w:tcBorders>
              <w:top w:val="nil"/>
              <w:left w:val="single" w:sz="4" w:space="0" w:color="auto"/>
              <w:bottom w:val="single" w:sz="4" w:space="0" w:color="auto"/>
              <w:right w:val="single" w:sz="4" w:space="0" w:color="auto"/>
            </w:tcBorders>
            <w:shd w:val="clear" w:color="auto" w:fill="auto"/>
            <w:vAlign w:val="center"/>
          </w:tcPr>
          <w:p w14:paraId="22B3B860"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2.319</w:t>
            </w:r>
          </w:p>
        </w:tc>
        <w:tc>
          <w:tcPr>
            <w:tcW w:w="2037" w:type="dxa"/>
            <w:tcBorders>
              <w:top w:val="nil"/>
              <w:left w:val="nil"/>
              <w:bottom w:val="single" w:sz="4" w:space="0" w:color="auto"/>
              <w:right w:val="single" w:sz="4" w:space="0" w:color="auto"/>
            </w:tcBorders>
            <w:shd w:val="clear" w:color="auto" w:fill="auto"/>
            <w:vAlign w:val="center"/>
          </w:tcPr>
          <w:p w14:paraId="63B5055A"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11.596</w:t>
            </w:r>
          </w:p>
        </w:tc>
        <w:tc>
          <w:tcPr>
            <w:tcW w:w="2789" w:type="dxa"/>
            <w:tcBorders>
              <w:top w:val="nil"/>
              <w:left w:val="single" w:sz="4" w:space="0" w:color="auto"/>
              <w:bottom w:val="single" w:sz="4" w:space="0" w:color="auto"/>
              <w:right w:val="single" w:sz="4" w:space="0" w:color="auto"/>
            </w:tcBorders>
            <w:shd w:val="clear" w:color="auto" w:fill="auto"/>
            <w:vAlign w:val="center"/>
          </w:tcPr>
          <w:p w14:paraId="329B3CAA"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255,79</w:t>
            </w:r>
          </w:p>
        </w:tc>
      </w:tr>
      <w:tr w:rsidR="00301148" w:rsidRPr="00AE35C2" w14:paraId="7821E02E" w14:textId="77777777" w:rsidTr="007816B5">
        <w:trPr>
          <w:jc w:val="center"/>
        </w:trPr>
        <w:tc>
          <w:tcPr>
            <w:tcW w:w="2390" w:type="dxa"/>
            <w:shd w:val="clear" w:color="auto" w:fill="auto"/>
          </w:tcPr>
          <w:p w14:paraId="439E619B" w14:textId="77777777" w:rsidR="00301148" w:rsidRPr="00AE35C2" w:rsidRDefault="00301148" w:rsidP="00570B99">
            <w:pPr>
              <w:suppressAutoHyphens/>
              <w:spacing w:line="276" w:lineRule="auto"/>
              <w:rPr>
                <w:sz w:val="22"/>
                <w:szCs w:val="22"/>
              </w:rPr>
            </w:pPr>
            <w:r w:rsidRPr="00AE35C2">
              <w:rPr>
                <w:sz w:val="22"/>
                <w:szCs w:val="22"/>
              </w:rPr>
              <w:t>Ήρων II</w:t>
            </w:r>
          </w:p>
        </w:tc>
        <w:tc>
          <w:tcPr>
            <w:tcW w:w="1426" w:type="dxa"/>
            <w:tcBorders>
              <w:top w:val="nil"/>
              <w:left w:val="single" w:sz="4" w:space="0" w:color="auto"/>
              <w:bottom w:val="single" w:sz="4" w:space="0" w:color="auto"/>
              <w:right w:val="single" w:sz="4" w:space="0" w:color="auto"/>
            </w:tcBorders>
            <w:shd w:val="clear" w:color="auto" w:fill="auto"/>
            <w:vAlign w:val="center"/>
          </w:tcPr>
          <w:p w14:paraId="2E136275"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1.921</w:t>
            </w:r>
          </w:p>
        </w:tc>
        <w:tc>
          <w:tcPr>
            <w:tcW w:w="2037" w:type="dxa"/>
            <w:tcBorders>
              <w:top w:val="nil"/>
              <w:left w:val="nil"/>
              <w:bottom w:val="single" w:sz="4" w:space="0" w:color="auto"/>
              <w:right w:val="single" w:sz="4" w:space="0" w:color="auto"/>
            </w:tcBorders>
            <w:shd w:val="clear" w:color="auto" w:fill="auto"/>
            <w:vAlign w:val="center"/>
          </w:tcPr>
          <w:p w14:paraId="38B4F29A"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9.605</w:t>
            </w:r>
          </w:p>
        </w:tc>
        <w:tc>
          <w:tcPr>
            <w:tcW w:w="2789" w:type="dxa"/>
            <w:tcBorders>
              <w:top w:val="nil"/>
              <w:left w:val="single" w:sz="4" w:space="0" w:color="auto"/>
              <w:bottom w:val="single" w:sz="4" w:space="0" w:color="auto"/>
              <w:right w:val="single" w:sz="4" w:space="0" w:color="auto"/>
            </w:tcBorders>
            <w:shd w:val="clear" w:color="auto" w:fill="auto"/>
            <w:vAlign w:val="center"/>
          </w:tcPr>
          <w:p w14:paraId="10CBDE75"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211,88</w:t>
            </w:r>
          </w:p>
        </w:tc>
      </w:tr>
      <w:tr w:rsidR="00301148" w:rsidRPr="00AE35C2" w14:paraId="074AD908" w14:textId="77777777" w:rsidTr="007816B5">
        <w:trPr>
          <w:jc w:val="center"/>
        </w:trPr>
        <w:tc>
          <w:tcPr>
            <w:tcW w:w="2390" w:type="dxa"/>
            <w:shd w:val="clear" w:color="auto" w:fill="auto"/>
          </w:tcPr>
          <w:p w14:paraId="46A22EF6" w14:textId="77777777" w:rsidR="00301148" w:rsidRPr="00AE35C2" w:rsidRDefault="00301148" w:rsidP="00570B99">
            <w:pPr>
              <w:suppressAutoHyphens/>
              <w:spacing w:line="276" w:lineRule="auto"/>
              <w:rPr>
                <w:sz w:val="22"/>
                <w:szCs w:val="22"/>
              </w:rPr>
            </w:pPr>
            <w:r w:rsidRPr="00AE35C2">
              <w:rPr>
                <w:sz w:val="22"/>
                <w:szCs w:val="22"/>
              </w:rPr>
              <w:t xml:space="preserve">Κόρινθος POWER, Αγ. </w:t>
            </w:r>
            <w:proofErr w:type="spellStart"/>
            <w:r w:rsidRPr="00AE35C2">
              <w:rPr>
                <w:sz w:val="22"/>
                <w:szCs w:val="22"/>
              </w:rPr>
              <w:t>Θεόδωροι</w:t>
            </w:r>
            <w:proofErr w:type="spellEnd"/>
          </w:p>
        </w:tc>
        <w:tc>
          <w:tcPr>
            <w:tcW w:w="1426" w:type="dxa"/>
            <w:tcBorders>
              <w:top w:val="nil"/>
              <w:left w:val="single" w:sz="4" w:space="0" w:color="auto"/>
              <w:bottom w:val="single" w:sz="4" w:space="0" w:color="auto"/>
              <w:right w:val="single" w:sz="4" w:space="0" w:color="auto"/>
            </w:tcBorders>
            <w:shd w:val="clear" w:color="auto" w:fill="auto"/>
            <w:vAlign w:val="center"/>
          </w:tcPr>
          <w:p w14:paraId="56F05CB9"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1.973</w:t>
            </w:r>
          </w:p>
        </w:tc>
        <w:tc>
          <w:tcPr>
            <w:tcW w:w="2037" w:type="dxa"/>
            <w:tcBorders>
              <w:top w:val="nil"/>
              <w:left w:val="nil"/>
              <w:bottom w:val="single" w:sz="4" w:space="0" w:color="auto"/>
              <w:right w:val="single" w:sz="4" w:space="0" w:color="auto"/>
            </w:tcBorders>
            <w:shd w:val="clear" w:color="auto" w:fill="auto"/>
            <w:vAlign w:val="center"/>
          </w:tcPr>
          <w:p w14:paraId="5E21F860"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9.865</w:t>
            </w:r>
          </w:p>
        </w:tc>
        <w:tc>
          <w:tcPr>
            <w:tcW w:w="2789" w:type="dxa"/>
            <w:tcBorders>
              <w:top w:val="nil"/>
              <w:left w:val="single" w:sz="4" w:space="0" w:color="auto"/>
              <w:bottom w:val="single" w:sz="4" w:space="0" w:color="auto"/>
              <w:right w:val="single" w:sz="4" w:space="0" w:color="auto"/>
            </w:tcBorders>
            <w:shd w:val="clear" w:color="auto" w:fill="auto"/>
            <w:vAlign w:val="center"/>
          </w:tcPr>
          <w:p w14:paraId="58426C8A"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217,61</w:t>
            </w:r>
          </w:p>
        </w:tc>
      </w:tr>
      <w:tr w:rsidR="00301148" w:rsidRPr="00AE35C2" w14:paraId="69FBAF3B" w14:textId="77777777" w:rsidTr="007816B5">
        <w:trPr>
          <w:jc w:val="center"/>
        </w:trPr>
        <w:tc>
          <w:tcPr>
            <w:tcW w:w="2390" w:type="dxa"/>
            <w:shd w:val="clear" w:color="auto" w:fill="auto"/>
          </w:tcPr>
          <w:p w14:paraId="5D74B4C9" w14:textId="77777777" w:rsidR="00301148" w:rsidRPr="00AE35C2" w:rsidRDefault="00301148" w:rsidP="00570B99">
            <w:pPr>
              <w:suppressAutoHyphens/>
              <w:spacing w:line="276" w:lineRule="auto"/>
              <w:rPr>
                <w:sz w:val="22"/>
                <w:szCs w:val="22"/>
              </w:rPr>
            </w:pPr>
            <w:r w:rsidRPr="00AE35C2">
              <w:rPr>
                <w:sz w:val="22"/>
                <w:szCs w:val="22"/>
              </w:rPr>
              <w:t>PROTERGIA Αγ. Νικόλαος</w:t>
            </w:r>
          </w:p>
        </w:tc>
        <w:tc>
          <w:tcPr>
            <w:tcW w:w="1426" w:type="dxa"/>
            <w:tcBorders>
              <w:top w:val="nil"/>
              <w:left w:val="single" w:sz="4" w:space="0" w:color="auto"/>
              <w:bottom w:val="single" w:sz="4" w:space="0" w:color="auto"/>
              <w:right w:val="single" w:sz="4" w:space="0" w:color="auto"/>
            </w:tcBorders>
            <w:shd w:val="clear" w:color="auto" w:fill="auto"/>
            <w:vAlign w:val="center"/>
          </w:tcPr>
          <w:p w14:paraId="61487BA7"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1.961</w:t>
            </w:r>
          </w:p>
        </w:tc>
        <w:tc>
          <w:tcPr>
            <w:tcW w:w="2037" w:type="dxa"/>
            <w:tcBorders>
              <w:top w:val="nil"/>
              <w:left w:val="nil"/>
              <w:bottom w:val="single" w:sz="4" w:space="0" w:color="auto"/>
              <w:right w:val="single" w:sz="4" w:space="0" w:color="auto"/>
            </w:tcBorders>
            <w:shd w:val="clear" w:color="auto" w:fill="auto"/>
            <w:vAlign w:val="center"/>
          </w:tcPr>
          <w:p w14:paraId="34BCA071"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9.806</w:t>
            </w:r>
          </w:p>
        </w:tc>
        <w:tc>
          <w:tcPr>
            <w:tcW w:w="2789" w:type="dxa"/>
            <w:tcBorders>
              <w:top w:val="nil"/>
              <w:left w:val="single" w:sz="4" w:space="0" w:color="auto"/>
              <w:bottom w:val="single" w:sz="4" w:space="0" w:color="auto"/>
              <w:right w:val="single" w:sz="4" w:space="0" w:color="auto"/>
            </w:tcBorders>
            <w:shd w:val="clear" w:color="auto" w:fill="auto"/>
            <w:vAlign w:val="center"/>
          </w:tcPr>
          <w:p w14:paraId="4363E2AC"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216,3</w:t>
            </w:r>
          </w:p>
        </w:tc>
      </w:tr>
      <w:tr w:rsidR="00301148" w:rsidRPr="00AE35C2" w14:paraId="22CE2396" w14:textId="77777777" w:rsidTr="007816B5">
        <w:trPr>
          <w:jc w:val="center"/>
        </w:trPr>
        <w:tc>
          <w:tcPr>
            <w:tcW w:w="2390" w:type="dxa"/>
            <w:shd w:val="clear" w:color="auto" w:fill="auto"/>
          </w:tcPr>
          <w:p w14:paraId="777E66F6" w14:textId="77777777" w:rsidR="00301148" w:rsidRPr="00AE35C2" w:rsidRDefault="00301148" w:rsidP="00570B99">
            <w:pPr>
              <w:suppressAutoHyphens/>
              <w:spacing w:line="276" w:lineRule="auto"/>
              <w:rPr>
                <w:sz w:val="22"/>
                <w:szCs w:val="22"/>
              </w:rPr>
            </w:pPr>
            <w:r w:rsidRPr="00AE35C2">
              <w:rPr>
                <w:sz w:val="22"/>
                <w:szCs w:val="22"/>
              </w:rPr>
              <w:t>ΑΛΟΥΜΙΝΙΟΝ</w:t>
            </w:r>
          </w:p>
        </w:tc>
        <w:tc>
          <w:tcPr>
            <w:tcW w:w="1426" w:type="dxa"/>
            <w:tcBorders>
              <w:top w:val="nil"/>
              <w:left w:val="single" w:sz="4" w:space="0" w:color="auto"/>
              <w:bottom w:val="single" w:sz="4" w:space="0" w:color="auto"/>
              <w:right w:val="single" w:sz="4" w:space="0" w:color="auto"/>
            </w:tcBorders>
            <w:shd w:val="clear" w:color="auto" w:fill="auto"/>
            <w:vAlign w:val="center"/>
          </w:tcPr>
          <w:p w14:paraId="4740E739"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1.608</w:t>
            </w:r>
          </w:p>
        </w:tc>
        <w:tc>
          <w:tcPr>
            <w:tcW w:w="2037" w:type="dxa"/>
            <w:tcBorders>
              <w:top w:val="nil"/>
              <w:left w:val="nil"/>
              <w:bottom w:val="single" w:sz="4" w:space="0" w:color="auto"/>
              <w:right w:val="single" w:sz="4" w:space="0" w:color="auto"/>
            </w:tcBorders>
            <w:shd w:val="clear" w:color="auto" w:fill="auto"/>
            <w:vAlign w:val="center"/>
          </w:tcPr>
          <w:p w14:paraId="1FF3594A"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8.040</w:t>
            </w:r>
          </w:p>
        </w:tc>
        <w:tc>
          <w:tcPr>
            <w:tcW w:w="2789" w:type="dxa"/>
            <w:tcBorders>
              <w:top w:val="nil"/>
              <w:left w:val="single" w:sz="4" w:space="0" w:color="auto"/>
              <w:bottom w:val="single" w:sz="4" w:space="0" w:color="auto"/>
              <w:right w:val="single" w:sz="4" w:space="0" w:color="auto"/>
            </w:tcBorders>
            <w:shd w:val="clear" w:color="auto" w:fill="auto"/>
            <w:vAlign w:val="center"/>
          </w:tcPr>
          <w:p w14:paraId="55B52EB8"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177,36</w:t>
            </w:r>
          </w:p>
        </w:tc>
      </w:tr>
      <w:tr w:rsidR="00301148" w:rsidRPr="00AE35C2" w14:paraId="5E67B7E5" w14:textId="77777777" w:rsidTr="007816B5">
        <w:trPr>
          <w:jc w:val="center"/>
        </w:trPr>
        <w:tc>
          <w:tcPr>
            <w:tcW w:w="2390" w:type="dxa"/>
            <w:shd w:val="clear" w:color="auto" w:fill="auto"/>
          </w:tcPr>
          <w:p w14:paraId="5937E3B1" w14:textId="77777777" w:rsidR="00301148" w:rsidRPr="00AE35C2" w:rsidRDefault="00301148" w:rsidP="00570B99">
            <w:pPr>
              <w:suppressAutoHyphens/>
              <w:spacing w:line="276" w:lineRule="auto"/>
              <w:rPr>
                <w:sz w:val="22"/>
                <w:szCs w:val="22"/>
              </w:rPr>
            </w:pPr>
            <w:r w:rsidRPr="00AE35C2">
              <w:rPr>
                <w:sz w:val="22"/>
                <w:szCs w:val="22"/>
              </w:rPr>
              <w:t>ΜΥΤΙΛΗΝΑΙΟΣ Αγ. Νικόλαος Διστόμου*</w:t>
            </w:r>
          </w:p>
        </w:tc>
        <w:tc>
          <w:tcPr>
            <w:tcW w:w="1426" w:type="dxa"/>
            <w:tcBorders>
              <w:top w:val="nil"/>
              <w:left w:val="single" w:sz="4" w:space="0" w:color="auto"/>
              <w:bottom w:val="single" w:sz="4" w:space="0" w:color="auto"/>
              <w:right w:val="single" w:sz="4" w:space="0" w:color="auto"/>
            </w:tcBorders>
            <w:shd w:val="clear" w:color="auto" w:fill="auto"/>
            <w:vAlign w:val="center"/>
          </w:tcPr>
          <w:p w14:paraId="5026F1F7"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3.308*</w:t>
            </w:r>
          </w:p>
        </w:tc>
        <w:tc>
          <w:tcPr>
            <w:tcW w:w="2037" w:type="dxa"/>
            <w:tcBorders>
              <w:top w:val="nil"/>
              <w:left w:val="nil"/>
              <w:bottom w:val="single" w:sz="4" w:space="0" w:color="auto"/>
              <w:right w:val="single" w:sz="4" w:space="0" w:color="auto"/>
            </w:tcBorders>
            <w:shd w:val="clear" w:color="auto" w:fill="auto"/>
            <w:vAlign w:val="center"/>
          </w:tcPr>
          <w:p w14:paraId="011D6375"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16.542</w:t>
            </w:r>
          </w:p>
        </w:tc>
        <w:tc>
          <w:tcPr>
            <w:tcW w:w="2789" w:type="dxa"/>
            <w:tcBorders>
              <w:top w:val="nil"/>
              <w:left w:val="single" w:sz="4" w:space="0" w:color="auto"/>
              <w:bottom w:val="single" w:sz="4" w:space="0" w:color="auto"/>
              <w:right w:val="single" w:sz="4" w:space="0" w:color="auto"/>
            </w:tcBorders>
            <w:shd w:val="clear" w:color="auto" w:fill="auto"/>
            <w:vAlign w:val="center"/>
          </w:tcPr>
          <w:p w14:paraId="5F7D20FF"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sz w:val="22"/>
                <w:szCs w:val="22"/>
              </w:rPr>
            </w:pPr>
            <w:r w:rsidRPr="00AE35C2">
              <w:rPr>
                <w:sz w:val="22"/>
                <w:szCs w:val="22"/>
              </w:rPr>
              <w:t>364,9</w:t>
            </w:r>
          </w:p>
        </w:tc>
      </w:tr>
      <w:tr w:rsidR="00301148" w:rsidRPr="00AE35C2" w14:paraId="4B8C8525" w14:textId="77777777" w:rsidTr="007816B5">
        <w:trPr>
          <w:jc w:val="center"/>
        </w:trPr>
        <w:tc>
          <w:tcPr>
            <w:tcW w:w="2390" w:type="dxa"/>
            <w:shd w:val="clear" w:color="auto" w:fill="auto"/>
          </w:tcPr>
          <w:p w14:paraId="4C06A8A7" w14:textId="77777777" w:rsidR="00301148" w:rsidRPr="00AE35C2" w:rsidRDefault="00301148" w:rsidP="0057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1"/>
              <w:jc w:val="center"/>
              <w:rPr>
                <w:b/>
                <w:sz w:val="22"/>
                <w:szCs w:val="22"/>
              </w:rPr>
            </w:pPr>
            <w:r w:rsidRPr="00AE35C2">
              <w:rPr>
                <w:b/>
                <w:sz w:val="22"/>
                <w:szCs w:val="22"/>
              </w:rPr>
              <w:t>Σύνολο</w:t>
            </w:r>
          </w:p>
        </w:tc>
        <w:tc>
          <w:tcPr>
            <w:tcW w:w="1426" w:type="dxa"/>
            <w:tcBorders>
              <w:top w:val="nil"/>
              <w:left w:val="single" w:sz="4" w:space="0" w:color="auto"/>
              <w:bottom w:val="single" w:sz="4" w:space="0" w:color="auto"/>
              <w:right w:val="single" w:sz="4" w:space="0" w:color="auto"/>
            </w:tcBorders>
            <w:shd w:val="clear" w:color="auto" w:fill="auto"/>
            <w:vAlign w:val="center"/>
          </w:tcPr>
          <w:p w14:paraId="3680EE0D" w14:textId="77777777" w:rsidR="00301148" w:rsidRPr="00AE35C2" w:rsidRDefault="00301148" w:rsidP="00570B99">
            <w:pPr>
              <w:suppressAutoHyphens/>
              <w:spacing w:line="276" w:lineRule="auto"/>
              <w:jc w:val="center"/>
              <w:rPr>
                <w:b/>
                <w:sz w:val="22"/>
                <w:szCs w:val="22"/>
              </w:rPr>
            </w:pPr>
            <w:r w:rsidRPr="00AE35C2">
              <w:rPr>
                <w:b/>
                <w:sz w:val="22"/>
                <w:szCs w:val="22"/>
              </w:rPr>
              <w:t>16.753</w:t>
            </w:r>
          </w:p>
        </w:tc>
        <w:tc>
          <w:tcPr>
            <w:tcW w:w="2037" w:type="dxa"/>
            <w:tcBorders>
              <w:top w:val="nil"/>
              <w:left w:val="nil"/>
              <w:bottom w:val="single" w:sz="4" w:space="0" w:color="auto"/>
              <w:right w:val="single" w:sz="4" w:space="0" w:color="auto"/>
            </w:tcBorders>
            <w:shd w:val="clear" w:color="auto" w:fill="auto"/>
            <w:vAlign w:val="center"/>
          </w:tcPr>
          <w:p w14:paraId="0B394B55" w14:textId="77777777" w:rsidR="00301148" w:rsidRPr="00AE35C2" w:rsidRDefault="00301148" w:rsidP="00570B99">
            <w:pPr>
              <w:suppressAutoHyphens/>
              <w:spacing w:line="276" w:lineRule="auto"/>
              <w:jc w:val="center"/>
              <w:rPr>
                <w:b/>
                <w:sz w:val="22"/>
                <w:szCs w:val="22"/>
              </w:rPr>
            </w:pPr>
            <w:r w:rsidRPr="00AE35C2">
              <w:rPr>
                <w:b/>
                <w:sz w:val="22"/>
                <w:szCs w:val="22"/>
              </w:rPr>
              <w:t>83.765</w:t>
            </w:r>
          </w:p>
        </w:tc>
        <w:tc>
          <w:tcPr>
            <w:tcW w:w="2789" w:type="dxa"/>
            <w:tcBorders>
              <w:top w:val="nil"/>
              <w:left w:val="single" w:sz="4" w:space="0" w:color="auto"/>
              <w:bottom w:val="single" w:sz="4" w:space="0" w:color="auto"/>
              <w:right w:val="single" w:sz="4" w:space="0" w:color="auto"/>
            </w:tcBorders>
            <w:shd w:val="clear" w:color="auto" w:fill="auto"/>
            <w:vAlign w:val="center"/>
          </w:tcPr>
          <w:p w14:paraId="300BB0DB" w14:textId="77777777" w:rsidR="00301148" w:rsidRPr="00AE35C2" w:rsidRDefault="00301148" w:rsidP="00570B99">
            <w:pPr>
              <w:suppressAutoHyphens/>
              <w:spacing w:line="276" w:lineRule="auto"/>
              <w:jc w:val="center"/>
              <w:rPr>
                <w:b/>
                <w:bCs/>
                <w:sz w:val="22"/>
                <w:szCs w:val="22"/>
                <w:lang w:eastAsia="ar-SA"/>
              </w:rPr>
            </w:pPr>
            <w:r w:rsidRPr="00AE35C2">
              <w:rPr>
                <w:b/>
                <w:sz w:val="22"/>
                <w:szCs w:val="22"/>
              </w:rPr>
              <w:t>1.847,76</w:t>
            </w:r>
          </w:p>
        </w:tc>
      </w:tr>
    </w:tbl>
    <w:p w14:paraId="68DCB022" w14:textId="77777777" w:rsidR="00301148" w:rsidRPr="00AE35C2" w:rsidRDefault="00301148" w:rsidP="00570B99">
      <w:pPr>
        <w:widowControl w:val="0"/>
        <w:spacing w:after="160" w:line="276" w:lineRule="auto"/>
        <w:ind w:left="284"/>
        <w:jc w:val="both"/>
        <w:rPr>
          <w:spacing w:val="-5"/>
          <w:sz w:val="20"/>
          <w:szCs w:val="20"/>
          <w:lang w:eastAsia="ar-SA"/>
        </w:rPr>
      </w:pPr>
      <w:r w:rsidRPr="00AE35C2">
        <w:rPr>
          <w:spacing w:val="-5"/>
          <w:sz w:val="20"/>
          <w:szCs w:val="20"/>
          <w:lang w:eastAsia="ar-SA"/>
        </w:rPr>
        <w:t>*Ισχύει εφόσον αποκτήσει Άδεια Εμπορικής Λειτουργίας και κατά τη διάρκεια της εμπορικής λειτουργίας του. Επιπλέον, το απόθεμα ασφαλείας εξαρτάται από την καθαρή ισχύ της μονάδας κατά τη διάρκεια λειτουργίας της.</w:t>
      </w:r>
    </w:p>
    <w:p w14:paraId="755E046E" w14:textId="77777777" w:rsidR="00301148" w:rsidRPr="00AE35C2" w:rsidRDefault="00301148" w:rsidP="00570B99">
      <w:pPr>
        <w:pStyle w:val="a7"/>
        <w:numPr>
          <w:ilvl w:val="0"/>
          <w:numId w:val="4"/>
        </w:numPr>
        <w:tabs>
          <w:tab w:val="left" w:pos="720"/>
        </w:tabs>
        <w:spacing w:before="120" w:after="120" w:line="276" w:lineRule="auto"/>
        <w:contextualSpacing w:val="0"/>
        <w:jc w:val="both"/>
        <w:rPr>
          <w:color w:val="FF0000"/>
          <w:spacing w:val="-5"/>
        </w:rPr>
      </w:pPr>
      <w:r w:rsidRPr="00AE35C2">
        <w:rPr>
          <w:spacing w:val="-5"/>
        </w:rPr>
        <w:t xml:space="preserve">Σε ό,τι αφορά τον υπολογισμό του </w:t>
      </w:r>
      <w:r w:rsidRPr="00AE35C2">
        <w:rPr>
          <w:b/>
          <w:spacing w:val="-5"/>
        </w:rPr>
        <w:t>κεφαλαιουχικού κόστους διατήρησης αποθέματος ΥΦΑ</w:t>
      </w:r>
      <w:r w:rsidRPr="00AE35C2">
        <w:rPr>
          <w:spacing w:val="-5"/>
        </w:rPr>
        <w:t xml:space="preserve"> (που καλύπτει το χρηματοοικονομικό κόστος τήρησης των αποθεμάτων καυσίμου) στις εγκαταστάσεις της </w:t>
      </w:r>
      <w:proofErr w:type="spellStart"/>
      <w:r w:rsidRPr="00AE35C2">
        <w:rPr>
          <w:spacing w:val="-5"/>
        </w:rPr>
        <w:t>Ρεβυθούσας</w:t>
      </w:r>
      <w:proofErr w:type="spellEnd"/>
      <w:r w:rsidRPr="00AE35C2">
        <w:rPr>
          <w:spacing w:val="-5"/>
        </w:rPr>
        <w:t xml:space="preserve"> εκτιμώνται τα ακόλουθα: α) Για τον υπολογισμό του κεφαλαιουχικού κόστους λαμβάνεται υπόψη το τελευταίο εγκεκριμένο με την Απόφαση ΡΑΕ 540/2019 κόστος δανεισμού του ΔΕΣΦΑ που </w:t>
      </w:r>
      <w:r w:rsidRPr="00AE35C2">
        <w:rPr>
          <w:spacing w:val="-5"/>
        </w:rPr>
        <w:lastRenderedPageBreak/>
        <w:t>ισούται με 3,91%. β) Εφαρμόζοντας το ανωτέρω κόστος δανεισμού επί τιμής προμήθειας καυσίμου προ ΦΠΑ στο ύψος των χιλίων τριακοσίων πενήντα τεσσάρων ευρώ το κυβικό μέτρο (1354 €/</w:t>
      </w:r>
      <w:r w:rsidRPr="00AE35C2">
        <w:rPr>
          <w:spacing w:val="-5"/>
          <w:lang w:val="en-US"/>
        </w:rPr>
        <w:t>m</w:t>
      </w:r>
      <w:r w:rsidRPr="00AE35C2">
        <w:rPr>
          <w:spacing w:val="-5"/>
          <w:vertAlign w:val="superscript"/>
        </w:rPr>
        <w:t>3</w:t>
      </w:r>
      <w:r w:rsidRPr="00AE35C2">
        <w:rPr>
          <w:spacing w:val="-5"/>
        </w:rPr>
        <w:t xml:space="preserve">) (η τιμή προμήθειας που τελικά αποζημιώνεται προκύπτει από τα τιμολόγια προμήθειας), η </w:t>
      </w:r>
      <w:proofErr w:type="spellStart"/>
      <w:r w:rsidRPr="00AE35C2">
        <w:rPr>
          <w:spacing w:val="-5"/>
        </w:rPr>
        <w:t>μοναδιαία</w:t>
      </w:r>
      <w:proofErr w:type="spellEnd"/>
      <w:r w:rsidRPr="00AE35C2">
        <w:rPr>
          <w:spacing w:val="-5"/>
        </w:rPr>
        <w:t xml:space="preserve"> τιμή του ανταλλάγματος υπολογίζεται σε 52,94 €/</w:t>
      </w:r>
      <w:r w:rsidRPr="00AE35C2">
        <w:rPr>
          <w:spacing w:val="-5"/>
          <w:lang w:val="en-US"/>
        </w:rPr>
        <w:t>m</w:t>
      </w:r>
      <w:r w:rsidRPr="00AE35C2">
        <w:rPr>
          <w:spacing w:val="-5"/>
          <w:vertAlign w:val="superscript"/>
        </w:rPr>
        <w:t>3</w:t>
      </w:r>
      <w:r w:rsidRPr="00AE35C2">
        <w:rPr>
          <w:spacing w:val="-5"/>
        </w:rPr>
        <w:t xml:space="preserve"> ΥΦΑ ανά έτος.</w:t>
      </w:r>
      <w:r w:rsidRPr="00AE35C2">
        <w:rPr>
          <w:color w:val="FF0000"/>
          <w:spacing w:val="-5"/>
        </w:rPr>
        <w:t xml:space="preserve"> </w:t>
      </w:r>
      <w:r w:rsidRPr="00AE35C2">
        <w:rPr>
          <w:spacing w:val="-5"/>
        </w:rPr>
        <w:t>γ) Το συνολικό ύψος του ανταλλάγματος προκύπτει από το γινόμενο της υπό β μοναδιαίας τιμής και του ελάχιστου αποθέματος ασφαλείας που πρέπει να τηρείται για χρονική διάρκεια πέντε (5) μηνών, όπως παρουσιάζεται στον Πίνακα 6.</w:t>
      </w:r>
      <w:r w:rsidRPr="00AE35C2">
        <w:rPr>
          <w:color w:val="FF0000"/>
          <w:spacing w:val="-5"/>
        </w:rPr>
        <w:t xml:space="preserve"> </w:t>
      </w:r>
    </w:p>
    <w:p w14:paraId="32DCE85F" w14:textId="475F33EE" w:rsidR="00301148" w:rsidRPr="00AE35C2" w:rsidRDefault="00570B99" w:rsidP="00570B99">
      <w:pPr>
        <w:pStyle w:val="a7"/>
        <w:numPr>
          <w:ilvl w:val="0"/>
          <w:numId w:val="4"/>
        </w:numPr>
        <w:tabs>
          <w:tab w:val="left" w:pos="720"/>
        </w:tabs>
        <w:spacing w:before="120" w:after="120" w:line="276" w:lineRule="auto"/>
        <w:contextualSpacing w:val="0"/>
        <w:jc w:val="both"/>
        <w:rPr>
          <w:spacing w:val="-5"/>
        </w:rPr>
      </w:pPr>
      <w:r w:rsidRPr="00AE35C2">
        <w:rPr>
          <w:spacing w:val="-5"/>
        </w:rPr>
        <w:t>Σ</w:t>
      </w:r>
      <w:r w:rsidR="00301148" w:rsidRPr="00AE35C2">
        <w:rPr>
          <w:spacing w:val="-5"/>
        </w:rPr>
        <w:t xml:space="preserve">ύμφωνα με τα ανωτέρω, προκύπτει </w:t>
      </w:r>
      <w:r w:rsidR="00301148" w:rsidRPr="00AE35C2">
        <w:rPr>
          <w:spacing w:val="-5"/>
          <w:u w:val="single"/>
        </w:rPr>
        <w:t xml:space="preserve">το συνολικό κόστος για την κάλυψη της έκτακτης δαπάνης για τη διατήρηση αποθέματος ΥΦΑ σε υποδομή της </w:t>
      </w:r>
      <w:proofErr w:type="spellStart"/>
      <w:r w:rsidR="00301148" w:rsidRPr="00AE35C2">
        <w:rPr>
          <w:spacing w:val="-5"/>
          <w:u w:val="single"/>
        </w:rPr>
        <w:t>Ρεβυθούσας</w:t>
      </w:r>
      <w:proofErr w:type="spellEnd"/>
      <w:r w:rsidR="00301148" w:rsidRPr="00AE35C2">
        <w:rPr>
          <w:spacing w:val="-5"/>
          <w:u w:val="single"/>
        </w:rPr>
        <w:t xml:space="preserve"> το οποίο εκτιμάται κατά μέγιστον στα </w:t>
      </w:r>
      <w:r w:rsidR="00301148" w:rsidRPr="00AE35C2">
        <w:rPr>
          <w:b/>
          <w:bCs/>
          <w:spacing w:val="-5"/>
          <w:u w:val="single"/>
        </w:rPr>
        <w:t>1,85 εκ. €</w:t>
      </w:r>
      <w:r w:rsidR="00301148" w:rsidRPr="00AE35C2">
        <w:rPr>
          <w:spacing w:val="-5"/>
        </w:rPr>
        <w:t xml:space="preserve">. </w:t>
      </w:r>
    </w:p>
    <w:p w14:paraId="506605A2" w14:textId="78B28F88" w:rsidR="00E90C72" w:rsidRPr="00AE35C2" w:rsidRDefault="00570B99" w:rsidP="00570B99">
      <w:pPr>
        <w:keepNext/>
        <w:keepLines/>
        <w:tabs>
          <w:tab w:val="left" w:pos="720"/>
        </w:tabs>
        <w:suppressAutoHyphens/>
        <w:spacing w:before="240" w:after="60" w:line="276" w:lineRule="auto"/>
        <w:jc w:val="both"/>
        <w:rPr>
          <w:rFonts w:ascii="Calibri" w:hAnsi="Calibri" w:cs="Calibri"/>
          <w:b/>
          <w:bCs/>
          <w:color w:val="808080"/>
          <w:spacing w:val="-5"/>
          <w:kern w:val="28"/>
          <w:sz w:val="28"/>
          <w:szCs w:val="28"/>
          <w:lang w:eastAsia="en-US"/>
        </w:rPr>
      </w:pPr>
      <w:bookmarkStart w:id="11" w:name="_Hlk115365869"/>
      <w:r w:rsidRPr="00AE35C2">
        <w:rPr>
          <w:rFonts w:ascii="Calibri" w:hAnsi="Calibri" w:cs="Calibri"/>
          <w:b/>
          <w:bCs/>
          <w:color w:val="808080"/>
          <w:spacing w:val="-5"/>
          <w:kern w:val="28"/>
          <w:sz w:val="28"/>
          <w:szCs w:val="28"/>
          <w:lang w:eastAsia="en-US"/>
        </w:rPr>
        <w:t xml:space="preserve">ΣΤ. </w:t>
      </w:r>
      <w:r w:rsidR="00E90C72" w:rsidRPr="00AE35C2">
        <w:rPr>
          <w:rFonts w:ascii="Calibri" w:hAnsi="Calibri" w:cs="Calibri"/>
          <w:b/>
          <w:bCs/>
          <w:color w:val="808080"/>
          <w:spacing w:val="-5"/>
          <w:kern w:val="28"/>
          <w:sz w:val="28"/>
          <w:szCs w:val="28"/>
          <w:lang w:eastAsia="en-US"/>
        </w:rPr>
        <w:t>Ως προς την εκτίμηση της Δράσης Δ5 του Σχεδίου Προληπτικής Δράσης</w:t>
      </w:r>
      <w:r w:rsidR="00E90C72" w:rsidRPr="00AE35C2">
        <w:rPr>
          <w:rFonts w:ascii="Tahoma" w:hAnsi="Tahoma" w:cs="Arial"/>
          <w:b/>
          <w:bCs/>
          <w:color w:val="808080"/>
          <w:spacing w:val="-5"/>
          <w:kern w:val="1"/>
          <w:sz w:val="26"/>
          <w:szCs w:val="32"/>
          <w:lang w:eastAsia="ar-SA"/>
        </w:rPr>
        <w:t xml:space="preserve"> </w:t>
      </w:r>
      <w:r w:rsidR="00E90C72" w:rsidRPr="00AE35C2">
        <w:rPr>
          <w:rFonts w:ascii="Calibri" w:hAnsi="Calibri" w:cs="Calibri"/>
          <w:b/>
          <w:bCs/>
          <w:color w:val="808080"/>
          <w:spacing w:val="-5"/>
          <w:kern w:val="28"/>
          <w:sz w:val="28"/>
          <w:szCs w:val="28"/>
          <w:lang w:eastAsia="en-US"/>
        </w:rPr>
        <w:t>(αύξηση αποθεμάτων εναλλακτικού καυσίμου σε  μονάδες ΗΠ με καύσιμο ΦΑ και δυνατότητα εναλλαγής καυσίμου)</w:t>
      </w:r>
    </w:p>
    <w:bookmarkEnd w:id="11"/>
    <w:p w14:paraId="58F4E71B" w14:textId="1FE47009" w:rsidR="00E90C72" w:rsidRPr="00AE35C2" w:rsidRDefault="00570B99" w:rsidP="00570B99">
      <w:pPr>
        <w:pStyle w:val="a7"/>
        <w:numPr>
          <w:ilvl w:val="0"/>
          <w:numId w:val="4"/>
        </w:numPr>
        <w:tabs>
          <w:tab w:val="left" w:pos="720"/>
        </w:tabs>
        <w:spacing w:before="120" w:after="120" w:line="276" w:lineRule="auto"/>
        <w:contextualSpacing w:val="0"/>
        <w:jc w:val="both"/>
        <w:rPr>
          <w:color w:val="808080"/>
          <w:spacing w:val="-5"/>
        </w:rPr>
      </w:pPr>
      <w:r w:rsidRPr="00AE35C2">
        <w:rPr>
          <w:spacing w:val="-5"/>
        </w:rPr>
        <w:t>Μ</w:t>
      </w:r>
      <w:r w:rsidR="00E90C72" w:rsidRPr="00AE35C2">
        <w:rPr>
          <w:spacing w:val="-5"/>
        </w:rPr>
        <w:t xml:space="preserve">ε </w:t>
      </w:r>
      <w:r w:rsidRPr="00AE35C2">
        <w:rPr>
          <w:spacing w:val="-5"/>
        </w:rPr>
        <w:t xml:space="preserve">βάση </w:t>
      </w:r>
      <w:r w:rsidR="00E90C72" w:rsidRPr="00AE35C2">
        <w:rPr>
          <w:spacing w:val="-5"/>
        </w:rPr>
        <w:t xml:space="preserve">το εγκεκριμένο Σχέδιο Προληπτικής Δράσης, για την υλοποίηση της Δράσης Δ5, οι ΗΠ με υποχρέωση διατήρησης αποθεμάτων </w:t>
      </w:r>
      <w:proofErr w:type="spellStart"/>
      <w:r w:rsidR="00E90C72" w:rsidRPr="00AE35C2">
        <w:rPr>
          <w:spacing w:val="-5"/>
        </w:rPr>
        <w:t>diesel</w:t>
      </w:r>
      <w:proofErr w:type="spellEnd"/>
      <w:r w:rsidR="00E90C72" w:rsidRPr="00AE35C2">
        <w:rPr>
          <w:spacing w:val="-5"/>
        </w:rPr>
        <w:t xml:space="preserve"> υποχρεούνται στην αύξηση του αποθέματός τους, από 5 ημέρες σε 20 ημέρες ή μέχρι την μέγιστη αποθηκευτική ικανότητα της υφιστάμενης δεξαμενής, αν αυτή αντιστοιχεί σε απόθεμα μικρότερο των 20 ημερών</w:t>
      </w:r>
      <w:r w:rsidR="007113B8">
        <w:rPr>
          <w:spacing w:val="-5"/>
        </w:rPr>
        <w:t>, κατά τα ειδικώς οριζόμενα στο εγκεκριμένο Σχέδιο Προληπτικής Δράσης</w:t>
      </w:r>
      <w:r w:rsidR="00E90C72" w:rsidRPr="00AE35C2">
        <w:rPr>
          <w:spacing w:val="-5"/>
        </w:rPr>
        <w:t>.</w:t>
      </w:r>
    </w:p>
    <w:p w14:paraId="4652D392" w14:textId="3FB1A405" w:rsidR="00E90C72" w:rsidRPr="00AE35C2" w:rsidRDefault="00E90C72" w:rsidP="00570B99">
      <w:pPr>
        <w:pStyle w:val="a7"/>
        <w:numPr>
          <w:ilvl w:val="0"/>
          <w:numId w:val="4"/>
        </w:numPr>
        <w:tabs>
          <w:tab w:val="left" w:pos="720"/>
        </w:tabs>
        <w:spacing w:before="120" w:after="120" w:line="276" w:lineRule="auto"/>
        <w:contextualSpacing w:val="0"/>
        <w:jc w:val="both"/>
        <w:rPr>
          <w:rFonts w:ascii="Calibri" w:hAnsi="Calibri" w:cs="Calibri"/>
          <w:b/>
          <w:bCs/>
          <w:color w:val="808080"/>
          <w:spacing w:val="-5"/>
          <w:kern w:val="28"/>
          <w:sz w:val="28"/>
          <w:szCs w:val="28"/>
          <w:lang w:eastAsia="en-US"/>
        </w:rPr>
      </w:pPr>
      <w:r w:rsidRPr="00AE35C2">
        <w:rPr>
          <w:spacing w:val="-5"/>
        </w:rPr>
        <w:t xml:space="preserve">Σε ό,τι αφορά τον υπολογισμό του </w:t>
      </w:r>
      <w:r w:rsidRPr="00AE35C2">
        <w:rPr>
          <w:b/>
          <w:spacing w:val="-5"/>
        </w:rPr>
        <w:t xml:space="preserve">κεφαλαιουχικού κόστους διατήρησης αποθεμάτων πετρελαίου, </w:t>
      </w:r>
      <w:r w:rsidRPr="00AE35C2">
        <w:rPr>
          <w:spacing w:val="-5"/>
        </w:rPr>
        <w:t>για τις επιπλέον ποσότητες στις εγκαταστάσεις παραγωγής ηλεκτρικής ενέργειας με υποχρέωση λειτουργίας με εναλλακτικό καύσιμο εκτιμώνται τα ακόλουθα: α) Για τον υπολογισμό του κεφαλαιουχικού κόστους λαμβάνεται υπόψη το κόστος αγοράς του καυσίμου και απόδοση 3,91%, σύμφωνα με το τελευταίο εγκεκριμένο κόστος δανεισμού (</w:t>
      </w:r>
      <w:proofErr w:type="spellStart"/>
      <w:r w:rsidRPr="00AE35C2">
        <w:rPr>
          <w:spacing w:val="-5"/>
        </w:rPr>
        <w:t>Debt</w:t>
      </w:r>
      <w:proofErr w:type="spellEnd"/>
      <w:r w:rsidRPr="00AE35C2">
        <w:rPr>
          <w:spacing w:val="-5"/>
        </w:rPr>
        <w:t xml:space="preserve"> </w:t>
      </w:r>
      <w:proofErr w:type="spellStart"/>
      <w:r w:rsidRPr="00AE35C2">
        <w:rPr>
          <w:spacing w:val="-5"/>
        </w:rPr>
        <w:t>Interest</w:t>
      </w:r>
      <w:proofErr w:type="spellEnd"/>
      <w:r w:rsidRPr="00AE35C2">
        <w:rPr>
          <w:spacing w:val="-5"/>
        </w:rPr>
        <w:t xml:space="preserve"> </w:t>
      </w:r>
      <w:proofErr w:type="spellStart"/>
      <w:r w:rsidRPr="00AE35C2">
        <w:rPr>
          <w:spacing w:val="-5"/>
        </w:rPr>
        <w:t>Rate</w:t>
      </w:r>
      <w:proofErr w:type="spellEnd"/>
      <w:r w:rsidRPr="00AE35C2">
        <w:rPr>
          <w:spacing w:val="-5"/>
        </w:rPr>
        <w:t>) του ΔΕΣΦΑ, όπως αυτό αναφέρεται στην Απόφαση ΡΑΕ 540/2019.</w:t>
      </w:r>
      <w:r w:rsidRPr="00AE35C2">
        <w:rPr>
          <w:color w:val="FF0000"/>
          <w:spacing w:val="-5"/>
        </w:rPr>
        <w:t xml:space="preserve"> </w:t>
      </w:r>
      <w:r w:rsidRPr="00AE35C2">
        <w:rPr>
          <w:spacing w:val="-5"/>
        </w:rPr>
        <w:t>β) Εφαρμόζοντας την ανωτέρω απόδοση επί τιμής προμήθειας καυσίμου προ ΦΠΑ στο ύψος των χιλίων τετρακοσίων σαράντα ευρώ το χιλιόλιτρο (1440 €/</w:t>
      </w:r>
      <w:proofErr w:type="spellStart"/>
      <w:r w:rsidRPr="00AE35C2">
        <w:rPr>
          <w:spacing w:val="-5"/>
        </w:rPr>
        <w:t>klt</w:t>
      </w:r>
      <w:proofErr w:type="spellEnd"/>
      <w:r w:rsidRPr="00AE35C2">
        <w:rPr>
          <w:spacing w:val="-5"/>
        </w:rPr>
        <w:t xml:space="preserve">) (η τιμή προμήθειας που τελικά αποζημιώνεται προκύπτει από τα τιμολόγια προμήθειας), η </w:t>
      </w:r>
      <w:proofErr w:type="spellStart"/>
      <w:r w:rsidRPr="00AE35C2">
        <w:rPr>
          <w:spacing w:val="-5"/>
        </w:rPr>
        <w:t>μοναδιαία</w:t>
      </w:r>
      <w:proofErr w:type="spellEnd"/>
      <w:r w:rsidRPr="00AE35C2">
        <w:rPr>
          <w:spacing w:val="-5"/>
        </w:rPr>
        <w:t xml:space="preserve"> τιμή του ανταλλάγματος υπολογίζεται σε 56,3 €/</w:t>
      </w:r>
      <w:proofErr w:type="spellStart"/>
      <w:r w:rsidRPr="00AE35C2">
        <w:rPr>
          <w:spacing w:val="-5"/>
        </w:rPr>
        <w:t>klt</w:t>
      </w:r>
      <w:proofErr w:type="spellEnd"/>
      <w:r w:rsidRPr="00AE35C2">
        <w:rPr>
          <w:spacing w:val="-5"/>
        </w:rPr>
        <w:t xml:space="preserve"> ανά έτος.</w:t>
      </w:r>
      <w:r w:rsidRPr="00AE35C2">
        <w:rPr>
          <w:color w:val="FF0000"/>
          <w:spacing w:val="-5"/>
        </w:rPr>
        <w:t xml:space="preserve"> </w:t>
      </w:r>
      <w:r w:rsidRPr="00AE35C2">
        <w:rPr>
          <w:spacing w:val="-5"/>
        </w:rPr>
        <w:t xml:space="preserve">γ) Το επιπλέον ύψος του ανταλλάγματος προκύπτει από το γινόμενο της υπό β μοναδιαίας τιμής και του  </w:t>
      </w:r>
      <w:proofErr w:type="spellStart"/>
      <w:r w:rsidRPr="00AE35C2">
        <w:rPr>
          <w:spacing w:val="-5"/>
        </w:rPr>
        <w:t>επιπλεόν</w:t>
      </w:r>
      <w:proofErr w:type="spellEnd"/>
      <w:r w:rsidRPr="00AE35C2">
        <w:rPr>
          <w:spacing w:val="-5"/>
        </w:rPr>
        <w:t xml:space="preserve"> αποθέματος ασφαλείας, πέραν του υφιστάμενου κατά τα προβλεπόμενα στην Ενότητα </w:t>
      </w:r>
      <w:r w:rsidR="001A4FBA" w:rsidRPr="00AE35C2">
        <w:rPr>
          <w:spacing w:val="-5"/>
        </w:rPr>
        <w:t>Α</w:t>
      </w:r>
      <w:r w:rsidRPr="00AE35C2">
        <w:rPr>
          <w:spacing w:val="-5"/>
        </w:rPr>
        <w:t xml:space="preserve"> </w:t>
      </w:r>
      <w:r w:rsidR="00F13A10" w:rsidRPr="00AE35C2">
        <w:rPr>
          <w:spacing w:val="-5"/>
        </w:rPr>
        <w:t>του παρόντος</w:t>
      </w:r>
      <w:r w:rsidRPr="00AE35C2">
        <w:rPr>
          <w:spacing w:val="-5"/>
        </w:rPr>
        <w:t xml:space="preserve">, που πρέπει να τηρείται στους σταθμούς κατά τη διάρκεια του έτους. δ) Το εκτιμώμενο επιπλέον απόθεμα ασφαλείας ανέρχεται στην ποσότητα που απαιτείται </w:t>
      </w:r>
      <w:r w:rsidR="007113B8">
        <w:rPr>
          <w:spacing w:val="-5"/>
        </w:rPr>
        <w:t>σύμφωνα με την παραπάνω παράγραφο</w:t>
      </w:r>
      <w:r w:rsidRPr="00AE35C2">
        <w:rPr>
          <w:spacing w:val="-5"/>
        </w:rPr>
        <w:t xml:space="preserve">. Το κεφαλαιουχικό κόστος διατήρησης των επιπλέον αποθεμάτων πετρελαίου </w:t>
      </w:r>
      <w:r w:rsidRPr="00AE35C2">
        <w:rPr>
          <w:spacing w:val="-5"/>
          <w:u w:val="single"/>
        </w:rPr>
        <w:t xml:space="preserve">προϋπολογίζεται στα </w:t>
      </w:r>
      <w:r w:rsidRPr="00AE35C2">
        <w:rPr>
          <w:b/>
          <w:bCs/>
          <w:spacing w:val="-5"/>
          <w:u w:val="single"/>
        </w:rPr>
        <w:t>3,19 εκ. €.</w:t>
      </w:r>
      <w:r w:rsidRPr="00AE35C2">
        <w:rPr>
          <w:spacing w:val="-5"/>
        </w:rPr>
        <w:t xml:space="preserve"> </w:t>
      </w:r>
    </w:p>
    <w:p w14:paraId="1B3ED25D" w14:textId="36CC691C" w:rsidR="00E90C72" w:rsidRPr="00AE35C2" w:rsidRDefault="00570B99" w:rsidP="00570B99">
      <w:pPr>
        <w:keepNext/>
        <w:keepLines/>
        <w:tabs>
          <w:tab w:val="left" w:pos="720"/>
        </w:tabs>
        <w:suppressAutoHyphens/>
        <w:spacing w:before="240" w:after="60" w:line="276" w:lineRule="auto"/>
        <w:jc w:val="both"/>
        <w:rPr>
          <w:rFonts w:ascii="Calibri" w:hAnsi="Calibri" w:cs="Calibri"/>
          <w:b/>
          <w:bCs/>
          <w:color w:val="808080"/>
          <w:spacing w:val="-5"/>
          <w:kern w:val="28"/>
          <w:sz w:val="28"/>
          <w:szCs w:val="28"/>
          <w:lang w:eastAsia="en-US"/>
        </w:rPr>
      </w:pPr>
      <w:r w:rsidRPr="00AE35C2">
        <w:rPr>
          <w:rFonts w:ascii="Calibri" w:hAnsi="Calibri" w:cs="Calibri"/>
          <w:b/>
          <w:bCs/>
          <w:color w:val="808080"/>
          <w:spacing w:val="-5"/>
          <w:kern w:val="28"/>
          <w:sz w:val="28"/>
          <w:szCs w:val="28"/>
          <w:lang w:eastAsia="en-US"/>
        </w:rPr>
        <w:lastRenderedPageBreak/>
        <w:t xml:space="preserve">Ζ. </w:t>
      </w:r>
      <w:r w:rsidR="007816B5" w:rsidRPr="00AE35C2">
        <w:rPr>
          <w:rFonts w:ascii="Calibri" w:hAnsi="Calibri" w:cs="Calibri"/>
          <w:b/>
          <w:bCs/>
          <w:color w:val="808080"/>
          <w:spacing w:val="-5"/>
          <w:kern w:val="28"/>
          <w:sz w:val="28"/>
          <w:szCs w:val="28"/>
          <w:lang w:eastAsia="en-US"/>
        </w:rPr>
        <w:t>Προσδιορισμός ανώτατου επιτρεπόμενου ορίου λογαριασμού ασφάλειας εφοδιασμού</w:t>
      </w:r>
    </w:p>
    <w:p w14:paraId="1286AFA2" w14:textId="2FC85D9F" w:rsidR="007816B5" w:rsidRPr="00AE35C2" w:rsidRDefault="007816B5" w:rsidP="00570B99">
      <w:pPr>
        <w:pStyle w:val="a7"/>
        <w:numPr>
          <w:ilvl w:val="0"/>
          <w:numId w:val="4"/>
        </w:numPr>
        <w:tabs>
          <w:tab w:val="left" w:pos="720"/>
        </w:tabs>
        <w:spacing w:before="120" w:after="120" w:line="276" w:lineRule="auto"/>
        <w:contextualSpacing w:val="0"/>
        <w:jc w:val="both"/>
        <w:rPr>
          <w:spacing w:val="-5"/>
        </w:rPr>
      </w:pPr>
      <w:r w:rsidRPr="00AE35C2">
        <w:rPr>
          <w:spacing w:val="-5"/>
        </w:rPr>
        <w:t xml:space="preserve">Το ανώτατο επιτρεπόμενο όριο του λογαριασμού ασφάλειας εφοδιασμού καθορίζεται από τα αναγκαία ποσά για την κάλυψη των τακτικών, καθώς και των εκτάκτου χαρακτήρα αναγκών ασφάλειας εφοδιασμού της Χώρας με ΦΑ., όπως προβλέπονται στο </w:t>
      </w:r>
      <w:proofErr w:type="spellStart"/>
      <w:r w:rsidRPr="00AE35C2">
        <w:rPr>
          <w:spacing w:val="-5"/>
        </w:rPr>
        <w:t>εγκριθέν</w:t>
      </w:r>
      <w:proofErr w:type="spellEnd"/>
      <w:r w:rsidRPr="00AE35C2">
        <w:rPr>
          <w:spacing w:val="-5"/>
        </w:rPr>
        <w:t xml:space="preserve"> Σχέδιο Προληπτικής Δράσης και στις συμβάσεις των παραγράφων 4 και 5 του άρθρου 73 του Ν. 4001/2011, καθώς και στις διατάξεις του άρθρου 116 του ν. 4951/2022.</w:t>
      </w:r>
    </w:p>
    <w:p w14:paraId="540CA168" w14:textId="6DDECB81" w:rsidR="007816B5" w:rsidRPr="00AE35C2" w:rsidRDefault="007816B5" w:rsidP="00570B99">
      <w:pPr>
        <w:pStyle w:val="a7"/>
        <w:numPr>
          <w:ilvl w:val="0"/>
          <w:numId w:val="4"/>
        </w:numPr>
        <w:tabs>
          <w:tab w:val="left" w:pos="720"/>
        </w:tabs>
        <w:spacing w:before="120" w:after="120" w:line="276" w:lineRule="auto"/>
        <w:contextualSpacing w:val="0"/>
        <w:jc w:val="both"/>
        <w:rPr>
          <w:spacing w:val="-5"/>
        </w:rPr>
      </w:pPr>
      <w:bookmarkStart w:id="12" w:name="_Hlk523835870"/>
      <w:r w:rsidRPr="00AE35C2">
        <w:t>Ο</w:t>
      </w:r>
      <w:r w:rsidRPr="00AE35C2">
        <w:rPr>
          <w:spacing w:val="-5"/>
          <w:lang w:eastAsia="en-US"/>
        </w:rPr>
        <w:t xml:space="preserve">ι </w:t>
      </w:r>
      <w:r w:rsidRPr="00AE35C2">
        <w:rPr>
          <w:bCs/>
          <w:spacing w:val="-5"/>
          <w:lang w:eastAsia="en-US"/>
        </w:rPr>
        <w:t>τακτικές/πάγιες υποχρεώσεις του Διαχειριστή</w:t>
      </w:r>
      <w:r w:rsidRPr="00AE35C2">
        <w:rPr>
          <w:spacing w:val="-5"/>
          <w:lang w:eastAsia="en-US"/>
        </w:rPr>
        <w:t xml:space="preserve"> απορρέουν από την ανάγκη κάλυψης του ετήσιου ανταλλάγματος προς τους κατόχους άδειας παραγωγής σταθμού με δυνατότητα εναλλακτικού καυσίμου, με τους οποίους έχει συμβληθεί μέσω των συμβάσεων της παραγράφου 4 του άρθρου 73 του Ν. 4001/2011. Οι υποχρεώσεις αυτές, σε ετήσια βάση, προϋπολογίζονται στο ύψος των </w:t>
      </w:r>
      <w:r w:rsidRPr="00AE35C2">
        <w:rPr>
          <w:b/>
          <w:bCs/>
          <w:spacing w:val="-5"/>
          <w:lang w:eastAsia="en-US"/>
        </w:rPr>
        <w:t>5,94 εκ. €</w:t>
      </w:r>
      <w:r w:rsidRPr="00AE35C2">
        <w:t xml:space="preserve"> </w:t>
      </w:r>
      <w:r w:rsidRPr="00AE35C2">
        <w:rPr>
          <w:spacing w:val="-5"/>
          <w:lang w:eastAsia="en-US"/>
        </w:rPr>
        <w:t xml:space="preserve">σύμφωνα με την ενότητα </w:t>
      </w:r>
      <w:r w:rsidR="00F13A10" w:rsidRPr="00AE35C2">
        <w:rPr>
          <w:spacing w:val="-5"/>
          <w:lang w:eastAsia="en-US"/>
        </w:rPr>
        <w:t>Α</w:t>
      </w:r>
      <w:r w:rsidRPr="00AE35C2">
        <w:rPr>
          <w:spacing w:val="-5"/>
          <w:lang w:eastAsia="en-US"/>
        </w:rPr>
        <w:t xml:space="preserve"> </w:t>
      </w:r>
      <w:r w:rsidR="00F13A10" w:rsidRPr="00AE35C2">
        <w:rPr>
          <w:spacing w:val="-5"/>
          <w:lang w:eastAsia="en-US"/>
        </w:rPr>
        <w:t>του παρόντος</w:t>
      </w:r>
      <w:r w:rsidRPr="00AE35C2">
        <w:rPr>
          <w:spacing w:val="-5"/>
          <w:lang w:eastAsia="en-US"/>
        </w:rPr>
        <w:t>.</w:t>
      </w:r>
    </w:p>
    <w:bookmarkEnd w:id="12"/>
    <w:p w14:paraId="0398FE88" w14:textId="414DB384" w:rsidR="007816B5" w:rsidRPr="00AE35C2" w:rsidRDefault="007816B5" w:rsidP="00570B99">
      <w:pPr>
        <w:pStyle w:val="a7"/>
        <w:numPr>
          <w:ilvl w:val="0"/>
          <w:numId w:val="4"/>
        </w:numPr>
        <w:tabs>
          <w:tab w:val="left" w:pos="720"/>
        </w:tabs>
        <w:spacing w:before="120" w:after="120" w:line="276" w:lineRule="auto"/>
        <w:contextualSpacing w:val="0"/>
        <w:jc w:val="both"/>
        <w:rPr>
          <w:spacing w:val="-5"/>
        </w:rPr>
      </w:pPr>
      <w:r w:rsidRPr="00AE35C2">
        <w:rPr>
          <w:bCs/>
          <w:spacing w:val="-5"/>
          <w:lang w:eastAsia="en-US"/>
        </w:rPr>
        <w:t>Οι τακτικές/πάγιες υποχρεώσεις του Διαχειριστή</w:t>
      </w:r>
      <w:r w:rsidRPr="00AE35C2">
        <w:rPr>
          <w:spacing w:val="-5"/>
          <w:lang w:eastAsia="en-US"/>
        </w:rPr>
        <w:t xml:space="preserve"> απορρέουν επίσης από την υποχρέωση παροχής αποζημίωσης προς προμηθευτές δυνάμει των συμβάσεων που προβλέπονται στην παράγραφο 5 του άρθρου 73 του Ν. 4001/2011. </w:t>
      </w:r>
      <w:r w:rsidRPr="00AE35C2">
        <w:rPr>
          <w:bCs/>
          <w:spacing w:val="-5"/>
          <w:lang w:eastAsia="en-US"/>
        </w:rPr>
        <w:t xml:space="preserve">Το ανώτατο ύψος των αποζημιώσεων λόγω διαχείρισης ζήτησης, </w:t>
      </w:r>
      <w:r w:rsidRPr="00AE35C2">
        <w:rPr>
          <w:spacing w:val="-5"/>
          <w:lang w:eastAsia="en-US"/>
        </w:rPr>
        <w:t xml:space="preserve">σε ετήσια βάση, </w:t>
      </w:r>
      <w:r w:rsidRPr="00AE35C2">
        <w:rPr>
          <w:bCs/>
          <w:spacing w:val="-5"/>
          <w:lang w:eastAsia="en-US"/>
        </w:rPr>
        <w:t xml:space="preserve">σύμφωνα με την ενότητα </w:t>
      </w:r>
      <w:r w:rsidR="00F13A10" w:rsidRPr="00AE35C2">
        <w:rPr>
          <w:bCs/>
          <w:spacing w:val="-5"/>
          <w:lang w:eastAsia="en-US"/>
        </w:rPr>
        <w:t>Β</w:t>
      </w:r>
      <w:r w:rsidRPr="00AE35C2">
        <w:rPr>
          <w:bCs/>
          <w:spacing w:val="-5"/>
          <w:lang w:eastAsia="en-US"/>
        </w:rPr>
        <w:t xml:space="preserve"> </w:t>
      </w:r>
      <w:r w:rsidR="00F13A10" w:rsidRPr="00AE35C2">
        <w:rPr>
          <w:bCs/>
          <w:spacing w:val="-5"/>
          <w:lang w:eastAsia="en-US"/>
        </w:rPr>
        <w:t>του παρόντος</w:t>
      </w:r>
      <w:r w:rsidRPr="00AE35C2">
        <w:rPr>
          <w:bCs/>
          <w:spacing w:val="-5"/>
          <w:lang w:eastAsia="en-US"/>
        </w:rPr>
        <w:t xml:space="preserve">, καθορίζεται ίσο με </w:t>
      </w:r>
      <w:r w:rsidRPr="00AE35C2">
        <w:rPr>
          <w:b/>
          <w:spacing w:val="-5"/>
          <w:lang w:eastAsia="en-US"/>
        </w:rPr>
        <w:t>0,72 εκ. €</w:t>
      </w:r>
      <w:r w:rsidRPr="00AE35C2">
        <w:rPr>
          <w:bCs/>
          <w:spacing w:val="-5"/>
          <w:lang w:eastAsia="en-US"/>
        </w:rPr>
        <w:t>.</w:t>
      </w:r>
    </w:p>
    <w:p w14:paraId="1F696287" w14:textId="746A1407" w:rsidR="007816B5" w:rsidRPr="00AE35C2" w:rsidRDefault="007816B5" w:rsidP="00570B99">
      <w:pPr>
        <w:pStyle w:val="a7"/>
        <w:numPr>
          <w:ilvl w:val="0"/>
          <w:numId w:val="4"/>
        </w:numPr>
        <w:tabs>
          <w:tab w:val="left" w:pos="720"/>
        </w:tabs>
        <w:spacing w:before="120" w:after="120" w:line="276" w:lineRule="auto"/>
        <w:contextualSpacing w:val="0"/>
        <w:jc w:val="both"/>
        <w:rPr>
          <w:spacing w:val="-5"/>
        </w:rPr>
      </w:pPr>
      <w:r w:rsidRPr="00AE35C2">
        <w:rPr>
          <w:spacing w:val="-5"/>
          <w:lang w:eastAsia="en-US"/>
        </w:rPr>
        <w:t>Οι έκτακτες υποχρεώσεις του Διαχειριστή απορρέουν από την υποχρέωση παροχής αποζημίωσης για τη χειμερινή περίοδο 2022-2023 για την υλοποίηση των δράσεων Δ2 έως Δ5 του εγκεκριμένου Σχεδίου Προληπτικής Δράσης και συνοψίζονται στα κάτωθι:</w:t>
      </w:r>
    </w:p>
    <w:p w14:paraId="28F59495" w14:textId="67CDF03D" w:rsidR="007816B5" w:rsidRPr="00AE35C2" w:rsidRDefault="007816B5" w:rsidP="00570B99">
      <w:pPr>
        <w:numPr>
          <w:ilvl w:val="0"/>
          <w:numId w:val="9"/>
        </w:numPr>
        <w:tabs>
          <w:tab w:val="left" w:pos="0"/>
          <w:tab w:val="left" w:pos="284"/>
        </w:tabs>
        <w:spacing w:before="120" w:after="120" w:line="276" w:lineRule="auto"/>
        <w:jc w:val="both"/>
        <w:rPr>
          <w:spacing w:val="-5"/>
          <w:lang w:eastAsia="en-US"/>
        </w:rPr>
      </w:pPr>
      <w:r w:rsidRPr="00AE35C2">
        <w:rPr>
          <w:spacing w:val="-5"/>
          <w:lang w:eastAsia="en-US"/>
        </w:rPr>
        <w:t>Το ανώτατο κόστος ως προς την εκτίμηση της Δράσης Δ2 του Σχεδίου Προληπτικής Δράσης (μίσθωση πλωτής δεξαμενής ΥΦΑ)</w:t>
      </w:r>
      <w:r w:rsidRPr="00AE35C2">
        <w:t xml:space="preserve"> σύμφωνα με τις διατάξεις </w:t>
      </w:r>
      <w:r w:rsidRPr="00AE35C2">
        <w:rPr>
          <w:spacing w:val="-5"/>
          <w:lang w:eastAsia="en-US"/>
        </w:rPr>
        <w:t xml:space="preserve">του άρθρου 116 του ν. 4951/2022, προϋπολογίζεται στα </w:t>
      </w:r>
      <w:r w:rsidRPr="00AE35C2">
        <w:rPr>
          <w:b/>
          <w:bCs/>
          <w:spacing w:val="-5"/>
          <w:lang w:eastAsia="en-US"/>
        </w:rPr>
        <w:t>20 εκ. €</w:t>
      </w:r>
      <w:r w:rsidRPr="00AE35C2">
        <w:rPr>
          <w:spacing w:val="-5"/>
          <w:lang w:eastAsia="en-US"/>
        </w:rPr>
        <w:t xml:space="preserve">, σύμφωνα με την ενότητα </w:t>
      </w:r>
      <w:r w:rsidR="00F13A10" w:rsidRPr="00AE35C2">
        <w:rPr>
          <w:spacing w:val="-5"/>
          <w:lang w:eastAsia="en-US"/>
        </w:rPr>
        <w:t>Γ</w:t>
      </w:r>
      <w:r w:rsidRPr="00AE35C2">
        <w:rPr>
          <w:spacing w:val="-5"/>
          <w:lang w:eastAsia="en-US"/>
        </w:rPr>
        <w:t xml:space="preserve"> </w:t>
      </w:r>
      <w:r w:rsidR="00F13A10" w:rsidRPr="00AE35C2">
        <w:rPr>
          <w:spacing w:val="-5"/>
          <w:lang w:eastAsia="en-US"/>
        </w:rPr>
        <w:t>του παρόντος</w:t>
      </w:r>
      <w:r w:rsidRPr="00AE35C2">
        <w:rPr>
          <w:spacing w:val="-5"/>
          <w:lang w:eastAsia="en-US"/>
        </w:rPr>
        <w:t>.</w:t>
      </w:r>
    </w:p>
    <w:p w14:paraId="7051F32A" w14:textId="22C0D3AD" w:rsidR="007816B5" w:rsidRPr="00AE35C2" w:rsidRDefault="007816B5" w:rsidP="00570B99">
      <w:pPr>
        <w:numPr>
          <w:ilvl w:val="0"/>
          <w:numId w:val="9"/>
        </w:numPr>
        <w:tabs>
          <w:tab w:val="left" w:pos="0"/>
          <w:tab w:val="left" w:pos="284"/>
        </w:tabs>
        <w:spacing w:before="120" w:after="120" w:line="276" w:lineRule="auto"/>
        <w:jc w:val="both"/>
        <w:rPr>
          <w:spacing w:val="-5"/>
          <w:lang w:eastAsia="en-US"/>
        </w:rPr>
      </w:pPr>
      <w:r w:rsidRPr="00AE35C2">
        <w:rPr>
          <w:spacing w:val="-5"/>
          <w:lang w:eastAsia="en-US"/>
        </w:rPr>
        <w:t xml:space="preserve">Το ανώτατο κόστος ως προς την εκτίμηση της Δράσης Δ3 του Σχεδίου Προληπτικής Δράσης (διατήρηση αποθέματος ΦΑ σε υπόγεια υποδομή αποθήκευσης άλλου Κράτους – Μέλους), </w:t>
      </w:r>
      <w:bookmarkStart w:id="13" w:name="_Hlk115366487"/>
      <w:r w:rsidRPr="00AE35C2">
        <w:rPr>
          <w:spacing w:val="-5"/>
          <w:lang w:eastAsia="en-US"/>
        </w:rPr>
        <w:t xml:space="preserve">προϋπολογίζεται στα </w:t>
      </w:r>
      <w:r w:rsidRPr="00AE35C2">
        <w:rPr>
          <w:b/>
          <w:bCs/>
          <w:spacing w:val="-5"/>
          <w:lang w:eastAsia="en-US"/>
        </w:rPr>
        <w:t>65,85 εκ. €</w:t>
      </w:r>
      <w:r w:rsidRPr="00AE35C2">
        <w:rPr>
          <w:spacing w:val="-5"/>
          <w:lang w:eastAsia="en-US"/>
        </w:rPr>
        <w:t>,</w:t>
      </w:r>
      <w:r w:rsidRPr="00AE35C2">
        <w:t xml:space="preserve"> </w:t>
      </w:r>
      <w:r w:rsidRPr="00AE35C2">
        <w:rPr>
          <w:spacing w:val="-5"/>
          <w:lang w:eastAsia="en-US"/>
        </w:rPr>
        <w:t xml:space="preserve">σύμφωνα με την ενότητα </w:t>
      </w:r>
      <w:r w:rsidR="00F13A10" w:rsidRPr="00AE35C2">
        <w:rPr>
          <w:spacing w:val="-5"/>
          <w:lang w:eastAsia="en-US"/>
        </w:rPr>
        <w:t>Δ</w:t>
      </w:r>
      <w:r w:rsidRPr="00AE35C2">
        <w:rPr>
          <w:spacing w:val="-5"/>
          <w:lang w:eastAsia="en-US"/>
        </w:rPr>
        <w:t xml:space="preserve"> </w:t>
      </w:r>
      <w:r w:rsidR="00F13A10" w:rsidRPr="00AE35C2">
        <w:rPr>
          <w:spacing w:val="-5"/>
          <w:lang w:eastAsia="en-US"/>
        </w:rPr>
        <w:t>του παρόντος</w:t>
      </w:r>
      <w:r w:rsidRPr="00AE35C2">
        <w:rPr>
          <w:spacing w:val="-5"/>
          <w:lang w:eastAsia="en-US"/>
        </w:rPr>
        <w:t>.</w:t>
      </w:r>
      <w:bookmarkEnd w:id="13"/>
    </w:p>
    <w:p w14:paraId="12EA86B3" w14:textId="277E2DB9" w:rsidR="007816B5" w:rsidRPr="00AE35C2" w:rsidRDefault="007816B5" w:rsidP="00570B99">
      <w:pPr>
        <w:numPr>
          <w:ilvl w:val="0"/>
          <w:numId w:val="9"/>
        </w:numPr>
        <w:tabs>
          <w:tab w:val="left" w:pos="0"/>
          <w:tab w:val="left" w:pos="284"/>
        </w:tabs>
        <w:spacing w:before="120" w:after="120" w:line="276" w:lineRule="auto"/>
        <w:jc w:val="both"/>
        <w:rPr>
          <w:color w:val="FF0000"/>
          <w:spacing w:val="-5"/>
          <w:lang w:eastAsia="en-US"/>
        </w:rPr>
      </w:pPr>
      <w:r w:rsidRPr="00AE35C2">
        <w:rPr>
          <w:spacing w:val="-5"/>
          <w:lang w:eastAsia="en-US"/>
        </w:rPr>
        <w:t>Το ανώτατο κόστος ως</w:t>
      </w:r>
      <w:r w:rsidRPr="00AE35C2">
        <w:t xml:space="preserve"> </w:t>
      </w:r>
      <w:r w:rsidRPr="00AE35C2">
        <w:rPr>
          <w:spacing w:val="-5"/>
          <w:lang w:eastAsia="en-US"/>
        </w:rPr>
        <w:t xml:space="preserve">προς την εκτίμηση της Δράσης Δ4 του Σχεδίου Προληπτικής Δράσης (διατήρηση αποθέματος ασφαλείας ΦΑ στη </w:t>
      </w:r>
      <w:proofErr w:type="spellStart"/>
      <w:r w:rsidRPr="00AE35C2">
        <w:rPr>
          <w:spacing w:val="-5"/>
          <w:lang w:eastAsia="en-US"/>
        </w:rPr>
        <w:t>Ρεβυθούσα</w:t>
      </w:r>
      <w:proofErr w:type="spellEnd"/>
      <w:r w:rsidRPr="00AE35C2">
        <w:rPr>
          <w:spacing w:val="-5"/>
          <w:lang w:eastAsia="en-US"/>
        </w:rPr>
        <w:t xml:space="preserve"> από μονάδες ΗΠ με καύσιμο ΦΑ χωρίς τη δυνατότητα εναλλαγής καυσίμου), </w:t>
      </w:r>
      <w:r w:rsidRPr="00231169">
        <w:rPr>
          <w:spacing w:val="-5"/>
          <w:lang w:eastAsia="en-US"/>
        </w:rPr>
        <w:t xml:space="preserve">προϋπολογίζεται στα </w:t>
      </w:r>
      <w:r w:rsidRPr="00231169">
        <w:rPr>
          <w:b/>
          <w:bCs/>
          <w:spacing w:val="-5"/>
          <w:lang w:eastAsia="en-US"/>
        </w:rPr>
        <w:t>1,85 εκ. €</w:t>
      </w:r>
      <w:r w:rsidRPr="00231169">
        <w:rPr>
          <w:spacing w:val="-5"/>
          <w:lang w:eastAsia="en-US"/>
        </w:rPr>
        <w:t>,</w:t>
      </w:r>
      <w:r w:rsidRPr="00231169">
        <w:t xml:space="preserve"> </w:t>
      </w:r>
      <w:r w:rsidRPr="00231169">
        <w:rPr>
          <w:spacing w:val="-5"/>
          <w:lang w:eastAsia="en-US"/>
        </w:rPr>
        <w:t xml:space="preserve">σύμφωνα με την ενότητα </w:t>
      </w:r>
      <w:r w:rsidR="00F13A10" w:rsidRPr="00231169">
        <w:rPr>
          <w:spacing w:val="-5"/>
          <w:lang w:eastAsia="en-US"/>
        </w:rPr>
        <w:t>Ε</w:t>
      </w:r>
      <w:r w:rsidRPr="00231169">
        <w:rPr>
          <w:spacing w:val="-5"/>
          <w:lang w:eastAsia="en-US"/>
        </w:rPr>
        <w:t xml:space="preserve"> </w:t>
      </w:r>
      <w:r w:rsidR="00F13A10" w:rsidRPr="00231169">
        <w:rPr>
          <w:spacing w:val="-5"/>
          <w:lang w:eastAsia="en-US"/>
        </w:rPr>
        <w:t>του παρόντος</w:t>
      </w:r>
      <w:r w:rsidRPr="00231169">
        <w:rPr>
          <w:spacing w:val="-5"/>
          <w:lang w:eastAsia="en-US"/>
        </w:rPr>
        <w:t>.</w:t>
      </w:r>
      <w:r w:rsidRPr="00231169">
        <w:t xml:space="preserve"> </w:t>
      </w:r>
      <w:r w:rsidRPr="00231169">
        <w:rPr>
          <w:spacing w:val="-5"/>
          <w:lang w:eastAsia="en-US"/>
        </w:rPr>
        <w:t>Η αποζημίωση που λαμβάνει η ΔΕΣΦΑ Α.Ε. για την παροχή της ως άνω υπηρεσίας αφαιρείται και συνυπολογίζεται κατά την εκτίμηση του ύψους των τιμολογίων χρήσης του ΕΣΦΑ.</w:t>
      </w:r>
    </w:p>
    <w:p w14:paraId="4A3E3EFE" w14:textId="77CDB2B6" w:rsidR="007816B5" w:rsidRPr="00AE35C2" w:rsidRDefault="007816B5" w:rsidP="00570B99">
      <w:pPr>
        <w:numPr>
          <w:ilvl w:val="0"/>
          <w:numId w:val="9"/>
        </w:numPr>
        <w:tabs>
          <w:tab w:val="left" w:pos="0"/>
          <w:tab w:val="left" w:pos="284"/>
        </w:tabs>
        <w:spacing w:before="120" w:after="120" w:line="276" w:lineRule="auto"/>
        <w:jc w:val="both"/>
        <w:rPr>
          <w:spacing w:val="-5"/>
          <w:lang w:eastAsia="en-US"/>
        </w:rPr>
      </w:pPr>
      <w:r w:rsidRPr="00AE35C2">
        <w:rPr>
          <w:spacing w:val="-5"/>
          <w:lang w:eastAsia="en-US"/>
        </w:rPr>
        <w:t>Το ανώτατο κόστος ως</w:t>
      </w:r>
      <w:r w:rsidRPr="00AE35C2">
        <w:t xml:space="preserve"> </w:t>
      </w:r>
      <w:r w:rsidRPr="00AE35C2">
        <w:rPr>
          <w:spacing w:val="-5"/>
          <w:lang w:eastAsia="en-US"/>
        </w:rPr>
        <w:t xml:space="preserve">προς την εκτίμηση της Δράσης Δ5 του Σχεδίου Προληπτικής Δράσης (αύξηση αποθεμάτων εναλλακτικού καυσίμου σε  μονάδες </w:t>
      </w:r>
      <w:r w:rsidRPr="00AE35C2">
        <w:rPr>
          <w:spacing w:val="-5"/>
          <w:lang w:eastAsia="en-US"/>
        </w:rPr>
        <w:lastRenderedPageBreak/>
        <w:t xml:space="preserve">ΗΠ με καύσιμο ΦΑ και δυνατότητα εναλλαγής καυσίμου), προϋπολογίζεται στα </w:t>
      </w:r>
      <w:r w:rsidRPr="00AE35C2">
        <w:rPr>
          <w:b/>
          <w:bCs/>
          <w:spacing w:val="-5"/>
          <w:lang w:eastAsia="en-US"/>
        </w:rPr>
        <w:t>3,19 εκ. €</w:t>
      </w:r>
      <w:r w:rsidRPr="00AE35C2">
        <w:rPr>
          <w:spacing w:val="-5"/>
          <w:lang w:eastAsia="en-US"/>
        </w:rPr>
        <w:t>,</w:t>
      </w:r>
      <w:r w:rsidRPr="00AE35C2">
        <w:t xml:space="preserve"> </w:t>
      </w:r>
      <w:r w:rsidRPr="00AE35C2">
        <w:rPr>
          <w:spacing w:val="-5"/>
          <w:lang w:eastAsia="en-US"/>
        </w:rPr>
        <w:t xml:space="preserve">σύμφωνα με την ενότητα </w:t>
      </w:r>
      <w:r w:rsidR="00F13A10" w:rsidRPr="00AE35C2">
        <w:rPr>
          <w:spacing w:val="-5"/>
          <w:lang w:eastAsia="en-US"/>
        </w:rPr>
        <w:t>ΣΤ</w:t>
      </w:r>
      <w:r w:rsidRPr="00AE35C2">
        <w:rPr>
          <w:spacing w:val="-5"/>
          <w:lang w:eastAsia="en-US"/>
        </w:rPr>
        <w:t xml:space="preserve"> </w:t>
      </w:r>
      <w:r w:rsidR="00F13A10" w:rsidRPr="00AE35C2">
        <w:rPr>
          <w:spacing w:val="-5"/>
          <w:lang w:eastAsia="en-US"/>
        </w:rPr>
        <w:t>του παρόντος</w:t>
      </w:r>
      <w:r w:rsidRPr="00AE35C2">
        <w:rPr>
          <w:spacing w:val="-5"/>
          <w:lang w:eastAsia="en-US"/>
        </w:rPr>
        <w:t>.</w:t>
      </w:r>
    </w:p>
    <w:p w14:paraId="5103786E" w14:textId="5836A444" w:rsidR="007816B5" w:rsidRPr="00AE35C2" w:rsidRDefault="007816B5" w:rsidP="00570B99">
      <w:pPr>
        <w:pStyle w:val="a7"/>
        <w:numPr>
          <w:ilvl w:val="0"/>
          <w:numId w:val="4"/>
        </w:numPr>
        <w:tabs>
          <w:tab w:val="left" w:pos="720"/>
        </w:tabs>
        <w:spacing w:before="120" w:after="120" w:line="276" w:lineRule="auto"/>
        <w:contextualSpacing w:val="0"/>
        <w:jc w:val="both"/>
        <w:rPr>
          <w:spacing w:val="-5"/>
          <w:lang w:eastAsia="en-US"/>
        </w:rPr>
      </w:pPr>
      <w:r w:rsidRPr="00AE35C2">
        <w:rPr>
          <w:spacing w:val="-5"/>
          <w:lang w:eastAsia="en-US"/>
        </w:rPr>
        <w:t>Η ΡΑΕ αξιολόγησε το όφελος κάθε δράσης, προκειμένου να καλύπτονται οι τακτικές/πάγιες υποχρεώσεις του Διαχειριστή (υφιστάμενα μέτρα διαχείρισης της ζήτησης) αλλά και οι εκτάκτου χαρακτήρα δαπάνες (δράσεις Δ2-Δ5 του ΣΠΔ 2022) που εισάγονται για την ενίσχυση της ασφάλειας εφοδιασμού της Χώρας και για την εκπλήρωση των υποχρεώσεων της Χώρας που απορρέουν από την εφαρμογή του Κανονισμού (ΕΕ) 2022/1032, καθώς και το κόστος που αυτές επιφέρουν στο Τέλος Ασφάλειας Εφοδιασμού για την αποζημίωση των υπόχρεων στις Δράσεις, το οποίο κρίνεται αποδεκτό δεδομένης της παρούσας πολύ δύσκολης συγκυρίας.</w:t>
      </w:r>
    </w:p>
    <w:p w14:paraId="0D2FEBDB" w14:textId="0DDBD886" w:rsidR="007816B5" w:rsidRPr="00AE35C2" w:rsidRDefault="007816B5" w:rsidP="00570B99">
      <w:pPr>
        <w:pStyle w:val="a7"/>
        <w:numPr>
          <w:ilvl w:val="0"/>
          <w:numId w:val="4"/>
        </w:numPr>
        <w:tabs>
          <w:tab w:val="left" w:pos="720"/>
        </w:tabs>
        <w:spacing w:before="120" w:after="120" w:line="276" w:lineRule="auto"/>
        <w:contextualSpacing w:val="0"/>
        <w:jc w:val="both"/>
        <w:rPr>
          <w:spacing w:val="-5"/>
          <w:lang w:eastAsia="en-US"/>
        </w:rPr>
      </w:pPr>
      <w:r w:rsidRPr="00AE35C2">
        <w:rPr>
          <w:spacing w:val="-5"/>
          <w:lang w:eastAsia="en-US"/>
        </w:rPr>
        <w:t xml:space="preserve">Σύμφωνα με τα ανωτέρω, </w:t>
      </w:r>
      <w:r w:rsidRPr="00AE35C2">
        <w:rPr>
          <w:spacing w:val="-5"/>
          <w:u w:val="single"/>
          <w:lang w:eastAsia="en-US"/>
        </w:rPr>
        <w:t xml:space="preserve">το ύψος του λογαριασμού, το οποίο κρίνεται επαρκές για να καλύψει τις πάγιες/τακτικές υποχρεώσεις της ΔΕΣΦΑ Α..Ε. ενός έτους, </w:t>
      </w:r>
      <w:r w:rsidRPr="00AE35C2">
        <w:rPr>
          <w:bCs/>
          <w:spacing w:val="-5"/>
          <w:u w:val="single"/>
          <w:lang w:eastAsia="en-US"/>
        </w:rPr>
        <w:t xml:space="preserve">εκτιμάται στο ύψος των </w:t>
      </w:r>
      <w:r w:rsidRPr="00AE35C2">
        <w:rPr>
          <w:b/>
          <w:spacing w:val="-5"/>
          <w:u w:val="single"/>
          <w:lang w:eastAsia="en-US"/>
        </w:rPr>
        <w:t>6,7 εκ. €</w:t>
      </w:r>
      <w:r w:rsidRPr="00AE35C2">
        <w:rPr>
          <w:bCs/>
          <w:spacing w:val="-5"/>
          <w:u w:val="single"/>
          <w:lang w:eastAsia="en-US"/>
        </w:rPr>
        <w:t xml:space="preserve">. Το ύψος του λογαριασμού, το οποίο κρίνεται επαρκές για να καλύψει τις έκτακτες υποχρεώσεις </w:t>
      </w:r>
      <w:r w:rsidRPr="00AE35C2">
        <w:rPr>
          <w:spacing w:val="-5"/>
          <w:u w:val="single"/>
          <w:lang w:eastAsia="en-US"/>
        </w:rPr>
        <w:t xml:space="preserve">της ΔΕΣΦΑ Α..Ε. </w:t>
      </w:r>
      <w:r w:rsidRPr="00AE35C2">
        <w:rPr>
          <w:bCs/>
          <w:spacing w:val="-5"/>
          <w:u w:val="single"/>
          <w:lang w:eastAsia="en-US"/>
        </w:rPr>
        <w:t xml:space="preserve">για τη χειμερινή περίοδο 2022-2023 εκτιμάται συνολικά στο ύψος των </w:t>
      </w:r>
      <w:r w:rsidRPr="00AE35C2">
        <w:rPr>
          <w:b/>
          <w:spacing w:val="-5"/>
          <w:u w:val="single"/>
          <w:lang w:eastAsia="en-US"/>
        </w:rPr>
        <w:t>90,9</w:t>
      </w:r>
      <w:r w:rsidRPr="00AE35C2">
        <w:rPr>
          <w:b/>
          <w:color w:val="FF0000"/>
          <w:spacing w:val="-5"/>
          <w:u w:val="single"/>
          <w:lang w:eastAsia="en-US"/>
        </w:rPr>
        <w:t xml:space="preserve"> </w:t>
      </w:r>
      <w:r w:rsidRPr="00AE35C2">
        <w:rPr>
          <w:b/>
          <w:spacing w:val="-5"/>
          <w:u w:val="single"/>
          <w:lang w:eastAsia="en-US"/>
        </w:rPr>
        <w:t xml:space="preserve">εκ. </w:t>
      </w:r>
      <w:bookmarkStart w:id="14" w:name="_Hlk115429687"/>
      <w:r w:rsidRPr="00AE35C2">
        <w:rPr>
          <w:b/>
          <w:spacing w:val="-5"/>
          <w:u w:val="single"/>
          <w:lang w:eastAsia="en-US"/>
        </w:rPr>
        <w:t>€</w:t>
      </w:r>
      <w:r w:rsidRPr="00AE35C2">
        <w:rPr>
          <w:bCs/>
          <w:spacing w:val="-5"/>
          <w:u w:val="single"/>
          <w:lang w:eastAsia="en-US"/>
        </w:rPr>
        <w:t>.</w:t>
      </w:r>
      <w:r w:rsidRPr="00AE35C2">
        <w:rPr>
          <w:bCs/>
          <w:color w:val="FF0000"/>
          <w:spacing w:val="-5"/>
          <w:u w:val="single"/>
          <w:lang w:eastAsia="en-US"/>
        </w:rPr>
        <w:t xml:space="preserve"> </w:t>
      </w:r>
      <w:bookmarkEnd w:id="14"/>
      <w:r w:rsidRPr="00AE35C2">
        <w:rPr>
          <w:spacing w:val="-5"/>
          <w:u w:val="single"/>
          <w:lang w:eastAsia="en-US"/>
        </w:rPr>
        <w:t xml:space="preserve">Το τελικό κόστος προσδιορίζεται κατά την υλοποίηση των δράσεων του ΣΠΔ βάσει των </w:t>
      </w:r>
      <w:proofErr w:type="spellStart"/>
      <w:r w:rsidRPr="00AE35C2">
        <w:rPr>
          <w:spacing w:val="-5"/>
          <w:u w:val="single"/>
          <w:lang w:eastAsia="en-US"/>
        </w:rPr>
        <w:t>επικαιροποιημένων</w:t>
      </w:r>
      <w:proofErr w:type="spellEnd"/>
      <w:r w:rsidRPr="00AE35C2">
        <w:rPr>
          <w:spacing w:val="-5"/>
          <w:u w:val="single"/>
          <w:lang w:eastAsia="en-US"/>
        </w:rPr>
        <w:t xml:space="preserve"> κατά την εν λόγω υλοποίηση σχετικών παραμέτρων κόστους.</w:t>
      </w:r>
    </w:p>
    <w:p w14:paraId="1A59634B" w14:textId="67415314" w:rsidR="00F06710" w:rsidRPr="00AE35C2" w:rsidRDefault="00570B99" w:rsidP="00570B99">
      <w:pPr>
        <w:keepNext/>
        <w:keepLines/>
        <w:tabs>
          <w:tab w:val="left" w:pos="720"/>
        </w:tabs>
        <w:suppressAutoHyphens/>
        <w:spacing w:before="240" w:after="60" w:line="276" w:lineRule="auto"/>
        <w:jc w:val="both"/>
        <w:rPr>
          <w:rFonts w:ascii="Calibri" w:hAnsi="Calibri" w:cs="Calibri"/>
          <w:b/>
          <w:bCs/>
          <w:color w:val="808080"/>
          <w:spacing w:val="-5"/>
          <w:kern w:val="28"/>
          <w:sz w:val="28"/>
          <w:szCs w:val="28"/>
          <w:lang w:eastAsia="en-US"/>
        </w:rPr>
      </w:pPr>
      <w:r w:rsidRPr="00AE35C2">
        <w:rPr>
          <w:rFonts w:ascii="Calibri" w:hAnsi="Calibri" w:cs="Calibri"/>
          <w:b/>
          <w:bCs/>
          <w:color w:val="808080"/>
          <w:spacing w:val="-5"/>
          <w:kern w:val="28"/>
          <w:sz w:val="28"/>
          <w:szCs w:val="28"/>
          <w:lang w:eastAsia="en-US"/>
        </w:rPr>
        <w:t xml:space="preserve">Η. </w:t>
      </w:r>
      <w:r w:rsidR="00F06710" w:rsidRPr="00AE35C2">
        <w:rPr>
          <w:rFonts w:ascii="Calibri" w:hAnsi="Calibri" w:cs="Calibri"/>
          <w:b/>
          <w:bCs/>
          <w:color w:val="808080"/>
          <w:spacing w:val="-5"/>
          <w:kern w:val="28"/>
          <w:sz w:val="28"/>
          <w:szCs w:val="28"/>
          <w:lang w:eastAsia="en-US"/>
        </w:rPr>
        <w:t>Υπολογισμός τέλους ασφάλειας εφοδιασμού και επιμερισμός τέλους ασφάλειας εφοδιασμού σε καταναλωτές φυσικού αερίου</w:t>
      </w:r>
    </w:p>
    <w:p w14:paraId="3308359A" w14:textId="0AD60731" w:rsidR="008F3BE1" w:rsidRPr="00AE35C2" w:rsidRDefault="008F3BE1" w:rsidP="00570B99">
      <w:pPr>
        <w:pStyle w:val="a7"/>
        <w:numPr>
          <w:ilvl w:val="0"/>
          <w:numId w:val="4"/>
        </w:numPr>
        <w:tabs>
          <w:tab w:val="left" w:pos="720"/>
        </w:tabs>
        <w:spacing w:before="120" w:after="120" w:line="276" w:lineRule="auto"/>
        <w:ind w:right="46"/>
        <w:contextualSpacing w:val="0"/>
        <w:jc w:val="both"/>
        <w:rPr>
          <w:bCs/>
          <w:color w:val="FF0000"/>
          <w:spacing w:val="-5"/>
        </w:rPr>
      </w:pPr>
      <w:r w:rsidRPr="00AE35C2">
        <w:rPr>
          <w:color w:val="000000"/>
          <w:spacing w:val="-5"/>
        </w:rPr>
        <w:t xml:space="preserve">Το ύψος του </w:t>
      </w:r>
      <w:proofErr w:type="spellStart"/>
      <w:r w:rsidRPr="00AE35C2">
        <w:rPr>
          <w:color w:val="000000"/>
          <w:spacing w:val="-5"/>
        </w:rPr>
        <w:t>μοναδιαίου</w:t>
      </w:r>
      <w:proofErr w:type="spellEnd"/>
      <w:r w:rsidRPr="00AE35C2">
        <w:rPr>
          <w:color w:val="000000"/>
          <w:spacing w:val="-5"/>
        </w:rPr>
        <w:t xml:space="preserve"> τέλους ασφάλειας εφοδιασμού που δύναται να καταβληθεί από κάθε κατηγορία Πελάτη κρίνεται σκόπιμο να υπολογιστεί με βάση τις αρχές: α) να διαφοροποιείται ανά κατηγορία Πελάτη ώστε να αντικατοπτρίζει </w:t>
      </w:r>
      <w:r w:rsidRPr="00AE35C2">
        <w:rPr>
          <w:bCs/>
          <w:color w:val="000000"/>
          <w:spacing w:val="-5"/>
        </w:rPr>
        <w:t xml:space="preserve">το επίπεδο της παρεχόμενης προστασίας που </w:t>
      </w:r>
      <w:proofErr w:type="spellStart"/>
      <w:r w:rsidRPr="00AE35C2">
        <w:rPr>
          <w:bCs/>
          <w:color w:val="000000"/>
          <w:spacing w:val="-5"/>
        </w:rPr>
        <w:t>αντιπαρέχεται</w:t>
      </w:r>
      <w:proofErr w:type="spellEnd"/>
      <w:r w:rsidRPr="00AE35C2">
        <w:rPr>
          <w:bCs/>
          <w:color w:val="000000"/>
          <w:spacing w:val="-5"/>
        </w:rPr>
        <w:t xml:space="preserve"> στην αντίστοιχη κατηγορία κατά τη διάρκεια κρίσεων επιπέδου έκτακτης ανάγκης, β) </w:t>
      </w:r>
      <w:r w:rsidRPr="00AE35C2">
        <w:rPr>
          <w:color w:val="000000"/>
          <w:spacing w:val="-5"/>
        </w:rPr>
        <w:t>να υπολογιστεί με τρόπο ώστε να καλύπτει το πλήρες κόστος του μηχανισμού διασφάλισης εφοδιασμού σε φυσικό αέριο που περιλαμβάνει το σύνολο των τακτικών και έκτακτων πληρωμών του Διαχειριστή προς Υπόχρεους των δράσεων</w:t>
      </w:r>
      <w:r w:rsidRPr="00AE35C2">
        <w:rPr>
          <w:color w:val="000000"/>
          <w:spacing w:val="-5"/>
          <w:lang w:eastAsia="en-US"/>
        </w:rPr>
        <w:t>,</w:t>
      </w:r>
      <w:r w:rsidRPr="00AE35C2">
        <w:rPr>
          <w:color w:val="000000"/>
          <w:spacing w:val="-5"/>
        </w:rPr>
        <w:t xml:space="preserve"> </w:t>
      </w:r>
      <w:r w:rsidRPr="00AE35C2">
        <w:rPr>
          <w:bCs/>
          <w:color w:val="000000"/>
          <w:spacing w:val="-5"/>
        </w:rPr>
        <w:t>γ) να τιμολογείται και να ανακτάται σε μηνιαία βάση καθότι τόσο οι συναλλαγές του Διαχειριστή και των Χρηστών, σύμφωνα με τα οριζόμενα στον Κώδικα Διαχείρισης ΕΣΦΑ πραγματοποιούνται σε μηνιαία βάση όσο και οι συναλλαγές μεταξύ Προμηθευτών και Μεγάλων Πελατών.</w:t>
      </w:r>
      <w:r w:rsidRPr="00AE35C2">
        <w:rPr>
          <w:bCs/>
          <w:color w:val="FF0000"/>
          <w:spacing w:val="-5"/>
        </w:rPr>
        <w:t xml:space="preserve"> </w:t>
      </w:r>
    </w:p>
    <w:p w14:paraId="5CFD120C" w14:textId="1D87B4EB" w:rsidR="008F3BE1" w:rsidRPr="00AE35C2" w:rsidRDefault="008F3BE1" w:rsidP="00570B99">
      <w:pPr>
        <w:pStyle w:val="a7"/>
        <w:numPr>
          <w:ilvl w:val="0"/>
          <w:numId w:val="4"/>
        </w:numPr>
        <w:tabs>
          <w:tab w:val="left" w:pos="720"/>
        </w:tabs>
        <w:spacing w:before="120" w:after="120" w:line="276" w:lineRule="auto"/>
        <w:ind w:right="46"/>
        <w:contextualSpacing w:val="0"/>
        <w:jc w:val="both"/>
        <w:rPr>
          <w:color w:val="000000"/>
          <w:spacing w:val="-5"/>
        </w:rPr>
      </w:pPr>
      <w:r w:rsidRPr="00AE35C2">
        <w:rPr>
          <w:spacing w:val="-5"/>
        </w:rPr>
        <w:t>Γι</w:t>
      </w:r>
      <w:r w:rsidRPr="00AE35C2">
        <w:rPr>
          <w:color w:val="000000"/>
          <w:spacing w:val="-5"/>
        </w:rPr>
        <w:t>α τη διαχείριση καταστάσεων συναγερμού επιπέδου 3 (επίπεδο έκτακτης ανάγκης) το αρμόδιο όργανο λήψης αποφάσεων αποφασίζει τη διακοπή/περιορισμό της παροχής φυσικού αερίου σε Πελάτες, σύμφωνα με την ακόλουθη σειρά προτεραιότητας:</w:t>
      </w:r>
    </w:p>
    <w:p w14:paraId="73AA4849" w14:textId="77777777" w:rsidR="008F3BE1" w:rsidRPr="00AE35C2" w:rsidRDefault="008F3BE1" w:rsidP="00570B99">
      <w:pPr>
        <w:pStyle w:val="a7"/>
        <w:tabs>
          <w:tab w:val="left" w:pos="720"/>
        </w:tabs>
        <w:spacing w:before="120" w:after="120" w:line="276" w:lineRule="auto"/>
        <w:ind w:left="360" w:right="46"/>
        <w:contextualSpacing w:val="0"/>
        <w:jc w:val="both"/>
        <w:rPr>
          <w:color w:val="000000"/>
          <w:spacing w:val="-5"/>
        </w:rPr>
      </w:pPr>
      <w:r w:rsidRPr="00AE35C2">
        <w:rPr>
          <w:color w:val="000000"/>
          <w:spacing w:val="-5"/>
        </w:rPr>
        <w:t xml:space="preserve">Ι. </w:t>
      </w:r>
      <w:r w:rsidRPr="00AE35C2">
        <w:rPr>
          <w:color w:val="000000"/>
          <w:spacing w:val="-5"/>
        </w:rPr>
        <w:tab/>
      </w:r>
      <w:proofErr w:type="spellStart"/>
      <w:r w:rsidRPr="00AE35C2">
        <w:rPr>
          <w:color w:val="000000"/>
          <w:spacing w:val="-5"/>
        </w:rPr>
        <w:t>Διακόψιμοι</w:t>
      </w:r>
      <w:proofErr w:type="spellEnd"/>
      <w:r w:rsidRPr="00AE35C2">
        <w:rPr>
          <w:color w:val="000000"/>
          <w:spacing w:val="-5"/>
        </w:rPr>
        <w:t xml:space="preserve"> Καταναλωτές </w:t>
      </w:r>
    </w:p>
    <w:p w14:paraId="66A40CA8" w14:textId="77777777" w:rsidR="008F3BE1" w:rsidRPr="00AE35C2" w:rsidRDefault="008F3BE1" w:rsidP="00570B99">
      <w:pPr>
        <w:pStyle w:val="a7"/>
        <w:tabs>
          <w:tab w:val="left" w:pos="720"/>
        </w:tabs>
        <w:spacing w:before="120" w:after="120" w:line="276" w:lineRule="auto"/>
        <w:ind w:left="360" w:right="46"/>
        <w:contextualSpacing w:val="0"/>
        <w:jc w:val="both"/>
        <w:rPr>
          <w:color w:val="000000"/>
          <w:spacing w:val="-5"/>
        </w:rPr>
      </w:pPr>
      <w:r w:rsidRPr="00AE35C2">
        <w:rPr>
          <w:color w:val="000000"/>
          <w:spacing w:val="-5"/>
        </w:rPr>
        <w:t xml:space="preserve">ΙΙ. </w:t>
      </w:r>
      <w:r w:rsidRPr="00AE35C2">
        <w:rPr>
          <w:color w:val="000000"/>
          <w:spacing w:val="-5"/>
        </w:rPr>
        <w:tab/>
        <w:t xml:space="preserve">Μονάδες παραγωγής ηλεκτρικής ενέργειας με καύσιμο φυσικό αέριο </w:t>
      </w:r>
    </w:p>
    <w:p w14:paraId="3E8677DA" w14:textId="77777777" w:rsidR="008F3BE1" w:rsidRPr="00AE35C2" w:rsidRDefault="008F3BE1" w:rsidP="00570B99">
      <w:pPr>
        <w:pStyle w:val="a7"/>
        <w:tabs>
          <w:tab w:val="left" w:pos="720"/>
        </w:tabs>
        <w:spacing w:before="120" w:after="120" w:line="276" w:lineRule="auto"/>
        <w:ind w:left="360" w:right="46"/>
        <w:contextualSpacing w:val="0"/>
        <w:jc w:val="both"/>
        <w:rPr>
          <w:color w:val="000000"/>
          <w:spacing w:val="-5"/>
        </w:rPr>
      </w:pPr>
      <w:r w:rsidRPr="00AE35C2">
        <w:rPr>
          <w:color w:val="000000"/>
          <w:spacing w:val="-5"/>
        </w:rPr>
        <w:t>ΙΙΙ.</w:t>
      </w:r>
      <w:r w:rsidRPr="00AE35C2">
        <w:rPr>
          <w:color w:val="000000"/>
          <w:spacing w:val="-5"/>
        </w:rPr>
        <w:tab/>
        <w:t>Άλλοι καταναλωτές φυσικού αερίου που δεν είναι Προστατευόμενοι</w:t>
      </w:r>
    </w:p>
    <w:p w14:paraId="47B0B279" w14:textId="77777777" w:rsidR="008F3BE1" w:rsidRPr="00AE35C2" w:rsidRDefault="008F3BE1" w:rsidP="00570B99">
      <w:pPr>
        <w:pStyle w:val="a7"/>
        <w:tabs>
          <w:tab w:val="left" w:pos="720"/>
        </w:tabs>
        <w:spacing w:before="120" w:after="120" w:line="276" w:lineRule="auto"/>
        <w:ind w:left="360" w:right="46"/>
        <w:contextualSpacing w:val="0"/>
        <w:jc w:val="both"/>
        <w:rPr>
          <w:color w:val="000000"/>
          <w:spacing w:val="-5"/>
        </w:rPr>
      </w:pPr>
      <w:r w:rsidRPr="00AE35C2">
        <w:rPr>
          <w:color w:val="000000"/>
          <w:spacing w:val="-5"/>
        </w:rPr>
        <w:t>Ι</w:t>
      </w:r>
      <w:r w:rsidRPr="00AE35C2">
        <w:rPr>
          <w:color w:val="000000"/>
          <w:spacing w:val="-5"/>
          <w:lang w:val="en-US"/>
        </w:rPr>
        <w:t>V</w:t>
      </w:r>
      <w:r w:rsidRPr="00AE35C2">
        <w:rPr>
          <w:color w:val="000000"/>
          <w:spacing w:val="-5"/>
        </w:rPr>
        <w:t>.</w:t>
      </w:r>
      <w:r w:rsidRPr="00AE35C2">
        <w:rPr>
          <w:color w:val="000000"/>
          <w:spacing w:val="-5"/>
        </w:rPr>
        <w:tab/>
        <w:t>Προστατευόμενοι Καταναλωτές φυσικού αερίου</w:t>
      </w:r>
    </w:p>
    <w:p w14:paraId="60BBA259" w14:textId="4BA1E48F" w:rsidR="008F3BE1" w:rsidRPr="00AE35C2" w:rsidRDefault="008F3BE1" w:rsidP="00570B99">
      <w:pPr>
        <w:pStyle w:val="a7"/>
        <w:numPr>
          <w:ilvl w:val="0"/>
          <w:numId w:val="4"/>
        </w:numPr>
        <w:tabs>
          <w:tab w:val="left" w:pos="720"/>
        </w:tabs>
        <w:spacing w:before="120" w:after="120" w:line="276" w:lineRule="auto"/>
        <w:ind w:right="46"/>
        <w:contextualSpacing w:val="0"/>
        <w:jc w:val="both"/>
        <w:rPr>
          <w:color w:val="FF0000"/>
          <w:spacing w:val="-5"/>
        </w:rPr>
      </w:pPr>
      <w:r w:rsidRPr="00AE35C2">
        <w:rPr>
          <w:spacing w:val="-5"/>
        </w:rPr>
        <w:t>Σ</w:t>
      </w:r>
      <w:r w:rsidRPr="00AE35C2">
        <w:rPr>
          <w:color w:val="000000"/>
          <w:spacing w:val="-5"/>
        </w:rPr>
        <w:t xml:space="preserve">ύμφωνα με τα ανωτέρω, σε περίπτωση που ο Διαχειριστής κηρύξει το ΕΣΦΑ σε κατάσταση έκτακτης ανάγκης (επίπεδο 3), οι Πελάτες οι οποίοι προηγούνται σε σειρά </w:t>
      </w:r>
      <w:r w:rsidRPr="00AE35C2">
        <w:rPr>
          <w:color w:val="000000"/>
          <w:spacing w:val="-5"/>
        </w:rPr>
        <w:lastRenderedPageBreak/>
        <w:t>προτεραιότητας στον κατάλογο σειράς διακοπής παροχής φυσικού αερίου αναμένεται να υποστούν επιβεβλημένη περικοπή στην τροφοδοσία τους με φυσικό αέριο, προκειμένου να διασφαλιστεί η τροφοδοσία καταναλωτών που έπονται στη σειρά, χωρίς να θεμελιώνουν</w:t>
      </w:r>
      <w:r w:rsidRPr="00AE35C2">
        <w:rPr>
          <w:color w:val="FF0000"/>
          <w:spacing w:val="-5"/>
        </w:rPr>
        <w:t xml:space="preserve"> </w:t>
      </w:r>
      <w:r w:rsidRPr="00AE35C2">
        <w:rPr>
          <w:color w:val="000000"/>
          <w:spacing w:val="-5"/>
        </w:rPr>
        <w:t>δικαίωμα για κανενός είδους αποζημίωση έναντι του αρμόδιου οργάνου που έλαβε τη σχετική απόφαση.</w:t>
      </w:r>
    </w:p>
    <w:p w14:paraId="19501ABC" w14:textId="190788D2" w:rsidR="008F3BE1" w:rsidRPr="00AE35C2" w:rsidRDefault="008F3BE1" w:rsidP="00570B99">
      <w:pPr>
        <w:pStyle w:val="a7"/>
        <w:numPr>
          <w:ilvl w:val="0"/>
          <w:numId w:val="4"/>
        </w:numPr>
        <w:tabs>
          <w:tab w:val="left" w:pos="720"/>
        </w:tabs>
        <w:spacing w:before="120" w:after="120" w:line="276" w:lineRule="auto"/>
        <w:ind w:right="46"/>
        <w:contextualSpacing w:val="0"/>
        <w:jc w:val="both"/>
        <w:rPr>
          <w:color w:val="FF0000"/>
          <w:spacing w:val="-5"/>
        </w:rPr>
      </w:pPr>
      <w:r w:rsidRPr="00AE35C2">
        <w:rPr>
          <w:spacing w:val="-5"/>
        </w:rPr>
        <w:t xml:space="preserve">Κατά αυτό </w:t>
      </w:r>
      <w:r w:rsidRPr="00AE35C2">
        <w:rPr>
          <w:color w:val="000000"/>
          <w:spacing w:val="-5"/>
        </w:rPr>
        <w:t>τον τρόπο διασφαλίζονται τα ακόλουθα: (α) η αξιόπιστη και ασφαλής λειτουργία του ΕΣΦΑ, (β) η τροφοδοσία της εναπομένουσας ζήτησης και ιδίως των Προστατευόμενων Καταναλωτών και, (γ) ο περιορισμός των επιπτώσεων στο Σύστημα Παραγωγής Ηλεκτρικής Ενέργειας.</w:t>
      </w:r>
    </w:p>
    <w:p w14:paraId="311E4F14" w14:textId="6B5A3644"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000000"/>
          <w:spacing w:val="-5"/>
        </w:rPr>
      </w:pPr>
      <w:r w:rsidRPr="00AE35C2">
        <w:rPr>
          <w:spacing w:val="-5"/>
        </w:rPr>
        <w:t>Ο</w:t>
      </w:r>
      <w:r w:rsidR="008F3BE1" w:rsidRPr="00AE35C2">
        <w:rPr>
          <w:spacing w:val="-5"/>
        </w:rPr>
        <w:t>ι</w:t>
      </w:r>
      <w:r w:rsidR="008F3BE1" w:rsidRPr="00AE35C2">
        <w:rPr>
          <w:color w:val="000000"/>
          <w:spacing w:val="-5"/>
        </w:rPr>
        <w:t xml:space="preserve"> Προστατευόμενοι Καταναλωτές (Κατηγορία Ι</w:t>
      </w:r>
      <w:r w:rsidR="008F3BE1" w:rsidRPr="00AE35C2">
        <w:rPr>
          <w:color w:val="000000"/>
          <w:spacing w:val="-5"/>
          <w:lang w:val="en-US"/>
        </w:rPr>
        <w:t>V</w:t>
      </w:r>
      <w:r w:rsidR="008F3BE1" w:rsidRPr="00AE35C2">
        <w:rPr>
          <w:color w:val="000000"/>
          <w:spacing w:val="-5"/>
        </w:rPr>
        <w:t xml:space="preserve">) και οι λοιποί καταναλωτές φυσικού αερίου (Κατηγορία ΙΙΙ) απολαμβάνουν τη μεγαλύτερη προτεραιότητα της τροφοδοσίας τους με φυσικό αέριο εν μέσω κρίσεων επιπέδου έκτακτης ανάγκης στο ΕΣΦΑ, έναντι της τροφοδοσίας των υπόλοιπων καταναλωτών, κρίνεται επομένως σκόπιμο να καταβάλλουν την υψηλότερη </w:t>
      </w:r>
      <w:proofErr w:type="spellStart"/>
      <w:r w:rsidR="008F3BE1" w:rsidRPr="00AE35C2">
        <w:rPr>
          <w:color w:val="000000"/>
          <w:spacing w:val="-5"/>
        </w:rPr>
        <w:t>μοναδιαία</w:t>
      </w:r>
      <w:proofErr w:type="spellEnd"/>
      <w:r w:rsidR="008F3BE1" w:rsidRPr="00AE35C2">
        <w:rPr>
          <w:color w:val="000000"/>
          <w:spacing w:val="-5"/>
        </w:rPr>
        <w:t xml:space="preserve"> χρέωση ως τέλος ασφάλειας εφοδιασμού.</w:t>
      </w:r>
    </w:p>
    <w:p w14:paraId="72CC6F41" w14:textId="63D1F85C"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000000"/>
          <w:spacing w:val="-5"/>
        </w:rPr>
      </w:pPr>
      <w:r w:rsidRPr="00AE35C2">
        <w:rPr>
          <w:spacing w:val="-5"/>
        </w:rPr>
        <w:t>Γ</w:t>
      </w:r>
      <w:r w:rsidR="008F3BE1" w:rsidRPr="00AE35C2">
        <w:rPr>
          <w:spacing w:val="-5"/>
        </w:rPr>
        <w:t>ια λόγους προστασίας του κοινωνικού συνόλου αλλά και την συνεχή λειτουργία σημαντικών κοινωνικών υποδομών, οι Προστατευόμενοι Καταναλωτές (Κατηγορία IV) κρίνεται σκόπιμο να απολαμβάνουν επιπλέον προτεραιότητα της τροφοδοσίας τους με φυσικό αέριο εν μέσω κρίσεων επιπέδου έκτακτης ανάγκης στο ΕΣΦΑ, έναντι και των λοιπών καταναλωτών (Κατηγορία III).</w:t>
      </w:r>
      <w:r w:rsidR="008F3BE1" w:rsidRPr="00AE35C2">
        <w:rPr>
          <w:color w:val="808080"/>
          <w:spacing w:val="-5"/>
        </w:rPr>
        <w:t xml:space="preserve">  </w:t>
      </w:r>
      <w:r w:rsidR="008F3BE1" w:rsidRPr="00AE35C2">
        <w:rPr>
          <w:color w:val="000000"/>
          <w:spacing w:val="-5"/>
        </w:rPr>
        <w:t xml:space="preserve"> </w:t>
      </w:r>
    </w:p>
    <w:p w14:paraId="27D50B46" w14:textId="7B1C871C"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FF0000"/>
          <w:spacing w:val="-5"/>
        </w:rPr>
      </w:pPr>
      <w:r w:rsidRPr="00AE35C2">
        <w:rPr>
          <w:spacing w:val="-5"/>
        </w:rPr>
        <w:t>Ο</w:t>
      </w:r>
      <w:r w:rsidR="008F3BE1" w:rsidRPr="00AE35C2">
        <w:rPr>
          <w:spacing w:val="-5"/>
        </w:rPr>
        <w:t xml:space="preserve">ι </w:t>
      </w:r>
      <w:proofErr w:type="spellStart"/>
      <w:r w:rsidR="008F3BE1" w:rsidRPr="00AE35C2">
        <w:rPr>
          <w:spacing w:val="-5"/>
        </w:rPr>
        <w:t>Διακόψιμοι</w:t>
      </w:r>
      <w:proofErr w:type="spellEnd"/>
      <w:r w:rsidR="008F3BE1" w:rsidRPr="00AE35C2">
        <w:rPr>
          <w:spacing w:val="-5"/>
        </w:rPr>
        <w:t xml:space="preserve"> </w:t>
      </w:r>
      <w:r w:rsidR="008F3BE1" w:rsidRPr="00AE35C2">
        <w:rPr>
          <w:color w:val="000000"/>
          <w:spacing w:val="-5"/>
        </w:rPr>
        <w:t>Καταναλωτές (Κατηγορία Ι) συμβάλουν με μηδενικό κόστος στη διαχείριση κρίσεων επιπέδου 2 και είναι πρώτοι στη λίστα διακοπής του σχεδίου έκτακτης ανάγκης, κρίνεται σκόπιμη η εξαίρεσή τους από την καταβολή Τέλους Ασφάλειας Εφοδιασμού.</w:t>
      </w:r>
    </w:p>
    <w:p w14:paraId="331E3D3E" w14:textId="4D8BE6BE" w:rsidR="008F3BE1" w:rsidRPr="00AE35C2" w:rsidRDefault="00E90955"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t>Σ</w:t>
      </w:r>
      <w:r w:rsidR="008F3BE1" w:rsidRPr="00AE35C2">
        <w:rPr>
          <w:spacing w:val="-5"/>
        </w:rPr>
        <w:t>ε κατάσταση συναγερμού 3 του ΕΣΦΑ και σύμφωνα με τη Δράση Δ6 του Σχεδίου Προληπτικής Δράσης 2022, οι μονάδες με δυνατότητα εναλλακτικού καυσίμου διακόπτονται κατά προτεραιότητα από την παροχή φυσικού αερίου και ως εκ τούτου συμβάλλουν στη διαχείριση της κρίσης, κρίνεται σκόπιμη η εξαίρεσή τους από την καταβολή Τέλους Ασφάλειας Εφοδιασμού.</w:t>
      </w:r>
    </w:p>
    <w:p w14:paraId="2A2051EF" w14:textId="03119F97" w:rsidR="008F3BE1" w:rsidRPr="00AE35C2" w:rsidRDefault="00E90955"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t>Ο</w:t>
      </w:r>
      <w:r w:rsidR="008F3BE1" w:rsidRPr="00AE35C2">
        <w:rPr>
          <w:spacing w:val="-5"/>
        </w:rPr>
        <w:t xml:space="preserve">ι Πελάτες – παραγωγοί ηλεκτρικής ενέργειας (Κατηγορία ΙΙ) είναι δεύτεροι στη λίστα διακοπής του σχεδίου έκτακτης ανάγκης, κρίνεται επομένως σκόπιμο να καταβάλλουν τη χαμηλότερη </w:t>
      </w:r>
      <w:proofErr w:type="spellStart"/>
      <w:r w:rsidR="008F3BE1" w:rsidRPr="00AE35C2">
        <w:rPr>
          <w:spacing w:val="-5"/>
        </w:rPr>
        <w:t>μοναδιαία</w:t>
      </w:r>
      <w:proofErr w:type="spellEnd"/>
      <w:r w:rsidR="008F3BE1" w:rsidRPr="00AE35C2">
        <w:rPr>
          <w:spacing w:val="-5"/>
        </w:rPr>
        <w:t xml:space="preserve"> χρέωση ως τέλος ασφάλειας εφοδιασμού, μεταξύ των κατηγοριών Ι-Ι</w:t>
      </w:r>
      <w:r w:rsidR="008F3BE1" w:rsidRPr="00AE35C2">
        <w:rPr>
          <w:spacing w:val="-5"/>
          <w:lang w:val="en-US"/>
        </w:rPr>
        <w:t>V</w:t>
      </w:r>
      <w:r w:rsidR="008F3BE1" w:rsidRPr="00AE35C2">
        <w:rPr>
          <w:spacing w:val="-5"/>
        </w:rPr>
        <w:t>.</w:t>
      </w:r>
    </w:p>
    <w:p w14:paraId="34F41292" w14:textId="31A0CB67"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0070C0"/>
          <w:spacing w:val="-5"/>
        </w:rPr>
      </w:pPr>
      <w:r w:rsidRPr="00AE35C2">
        <w:rPr>
          <w:spacing w:val="-5"/>
        </w:rPr>
        <w:t>Ο</w:t>
      </w:r>
      <w:r w:rsidR="008F3BE1" w:rsidRPr="00AE35C2">
        <w:rPr>
          <w:spacing w:val="-5"/>
        </w:rPr>
        <w:t xml:space="preserve">ι λοιποί καταναλωτές φυσικού αερίου (Κατηγορία ΙΙΙ) απολαμβάνουν σχετικής προτεραιότητας της τροφοδοσίας τους με φυσικό αέριο, καθώς και προβλέψεων για παροχή έγκαιρης προειδοποίησης σαράντα οκτώ (48) ωρών πριν την επικείμενη διακοπή της τροφοδοσίας για την προστασία των εγκαταστάσεών τους και την αποφυγή ατυχημάτων εν μέσω κρίσεων επιπέδου έκτακτης ανάγκης στο ΕΣΦΑ, κρίνεται σκόπιμο να καταβάλλουν ενδιάμεση </w:t>
      </w:r>
      <w:proofErr w:type="spellStart"/>
      <w:r w:rsidR="008F3BE1" w:rsidRPr="00AE35C2">
        <w:rPr>
          <w:spacing w:val="-5"/>
        </w:rPr>
        <w:t>μοναδιαία</w:t>
      </w:r>
      <w:proofErr w:type="spellEnd"/>
      <w:r w:rsidR="008F3BE1" w:rsidRPr="00AE35C2">
        <w:rPr>
          <w:spacing w:val="-5"/>
        </w:rPr>
        <w:t xml:space="preserve"> χρέωση ως τέλος ασφάλειας εφοδιασμού.</w:t>
      </w:r>
    </w:p>
    <w:p w14:paraId="12792F3A" w14:textId="4A314F2E" w:rsidR="008F3BE1" w:rsidRPr="00AE35C2" w:rsidRDefault="00E90955"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lastRenderedPageBreak/>
        <w:t>Ο</w:t>
      </w:r>
      <w:r w:rsidR="008F3BE1" w:rsidRPr="00AE35C2">
        <w:rPr>
          <w:spacing w:val="-5"/>
        </w:rPr>
        <w:t xml:space="preserve">ι Πελάτες παραγωγοί ηλεκτρικής ενέργειας με καύσιμο φυσικό αέριο (Κατηγορία ΙΙ) αντιπροσωπεύουν το μεγαλύτερο μερίδιο κατανάλωσης φυσικού αερίου της χώρας έναντι κάθε άλλης κατηγορίας καταναλωτών αθροιστικά. </w:t>
      </w:r>
    </w:p>
    <w:p w14:paraId="4E1582C9" w14:textId="2A400FF5"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4472C4"/>
          <w:spacing w:val="-5"/>
        </w:rPr>
      </w:pPr>
      <w:bookmarkStart w:id="15" w:name="_Hlk115362055"/>
      <w:r w:rsidRPr="00AE35C2">
        <w:rPr>
          <w:spacing w:val="-5"/>
        </w:rPr>
        <w:t>Ο</w:t>
      </w:r>
      <w:r w:rsidR="008F3BE1" w:rsidRPr="00AE35C2">
        <w:rPr>
          <w:spacing w:val="-5"/>
        </w:rPr>
        <w:t>ι δράσεις του Σχεδίου Προληπτικής Δράσης αφορούν την ασφάλεια εφοδιασμού των μονάδων ηλεκτροπαραγωγής με καύσιμο φυσικό αέριο είτε αποκλειστικά (Δράση Δ4) είτε συγκριτικά σε μεγαλύτερο βαθμό (Δράσεις Δ2, Δ3, Δ5), καθώς το μεγαλύτερο ποσοστό των ποσοτήτων φυσικού αερίου που θα διατεθεί άμεσα ή έμμεσα από τις δράσεις αυτές θα κατευθυνθεί για σκοπούς ηλεκτροπαραγωγής, συνεισφέροντας στην ασφάλεια εφοδιασμού των καταναλωτών ηλεκτρικής ενέργειας. Κρίνεται εύλογο οι υπόλοιπες κατηγορίες καταναλωτών φυσικού αερίου να μην επιβαρυνθούν σε μεγαλύτερο βαθμό έναντι των ηλεκτροπαραγωγών  για την προστασία των καταναλωτών ηλεκτρικής ενέργειας, αλλά το κόστος αυτό να επιβαρυνθεί η αγορά ηλεκτρικής ενέργειας μέσω αυτών των μονάδων ηλεκτροπαραγωγής.</w:t>
      </w:r>
      <w:bookmarkEnd w:id="15"/>
    </w:p>
    <w:p w14:paraId="2A473422" w14:textId="7F2CCE88" w:rsidR="008F3BE1" w:rsidRPr="00AE35C2" w:rsidRDefault="00E90955" w:rsidP="00570B99">
      <w:pPr>
        <w:pStyle w:val="a7"/>
        <w:numPr>
          <w:ilvl w:val="0"/>
          <w:numId w:val="4"/>
        </w:numPr>
        <w:tabs>
          <w:tab w:val="left" w:pos="720"/>
        </w:tabs>
        <w:spacing w:before="120" w:after="120" w:line="276" w:lineRule="auto"/>
        <w:ind w:right="46"/>
        <w:contextualSpacing w:val="0"/>
        <w:jc w:val="both"/>
        <w:rPr>
          <w:i/>
          <w:iCs/>
          <w:color w:val="4472C4"/>
          <w:spacing w:val="-5"/>
        </w:rPr>
      </w:pPr>
      <w:r w:rsidRPr="00AE35C2">
        <w:rPr>
          <w:spacing w:val="-5"/>
        </w:rPr>
        <w:t>Σ</w:t>
      </w:r>
      <w:r w:rsidR="008F3BE1" w:rsidRPr="00AE35C2">
        <w:rPr>
          <w:spacing w:val="-5"/>
        </w:rPr>
        <w:t>ύμφωνα με το άρθρο 3 του Κανονισμού (ΕΕ) 2022/1369 του Συμβουλίου της 5</w:t>
      </w:r>
      <w:r w:rsidR="008F3BE1" w:rsidRPr="00AE35C2">
        <w:rPr>
          <w:spacing w:val="-5"/>
          <w:vertAlign w:val="superscript"/>
        </w:rPr>
        <w:t>ης</w:t>
      </w:r>
      <w:r w:rsidR="008F3BE1" w:rsidRPr="00AE35C2">
        <w:rPr>
          <w:spacing w:val="-5"/>
        </w:rPr>
        <w:t xml:space="preserve">  Αυγούστου 2022 σχετικά με συντονισμένα μέτρα μείωσης της ζήτησης αερίου τα κράτη μέλη καταβάλλουν κάθε δυνατή προσπάθεια για να μειώσουν την εθνική τους κατανάλωση αερίου κατά την περίοδο από την 1η Αυγούστου 2022 έως τις 31 Μαρτίου 2023 τουλάχιστον κατά 15 % σε σύγκριση με τη μέση εθνική τους κατανάλωση αερίου κατά την περίοδο από την 1η Αυγούστου έως τις 31 Μαρτίου κατά τη διάρκεια των πέντε συναπτών ετών που προηγούνται της ημερομηνίας έναρξης ισχύος του παρόντος κανονισμού («εθελοντική μείωση της ζήτησης»).</w:t>
      </w:r>
      <w:r w:rsidR="008F3BE1" w:rsidRPr="00AE35C2">
        <w:rPr>
          <w:i/>
          <w:iCs/>
          <w:spacing w:val="-5"/>
        </w:rPr>
        <w:t xml:space="preserve"> </w:t>
      </w:r>
    </w:p>
    <w:p w14:paraId="08A7D166" w14:textId="7B42357F"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4472C4"/>
          <w:spacing w:val="-5"/>
        </w:rPr>
      </w:pPr>
      <w:r w:rsidRPr="00AE35C2">
        <w:rPr>
          <w:spacing w:val="-5"/>
        </w:rPr>
        <w:t>Π</w:t>
      </w:r>
      <w:r w:rsidR="008F3BE1" w:rsidRPr="00AE35C2">
        <w:rPr>
          <w:spacing w:val="-5"/>
        </w:rPr>
        <w:t>εραιτέρω</w:t>
      </w:r>
      <w:r w:rsidR="008F3BE1" w:rsidRPr="00AE35C2">
        <w:rPr>
          <w:b/>
          <w:bCs/>
          <w:i/>
          <w:iCs/>
          <w:spacing w:val="-5"/>
        </w:rPr>
        <w:t xml:space="preserve"> </w:t>
      </w:r>
      <w:r w:rsidR="008F3BE1" w:rsidRPr="00AE35C2">
        <w:rPr>
          <w:spacing w:val="-5"/>
        </w:rPr>
        <w:t>σύμφωνα με το άρθρο 2 του Κανονισμού (ΕΕ) 2022/1369 του Συμβουλίου της 5</w:t>
      </w:r>
      <w:r w:rsidR="008F3BE1" w:rsidRPr="00AE35C2">
        <w:rPr>
          <w:spacing w:val="-5"/>
          <w:vertAlign w:val="superscript"/>
        </w:rPr>
        <w:t>ης</w:t>
      </w:r>
      <w:r w:rsidR="008F3BE1" w:rsidRPr="00AE35C2">
        <w:rPr>
          <w:spacing w:val="-5"/>
        </w:rPr>
        <w:t xml:space="preserve"> Αυγούστου 2022 σχετικά με τα συντονισμένα μέτρα μείωσης της ζήτησης αερίου, ως κατανάλωση αναφοράς λαμβάνεται υπόψιν η μέση κατανάλωση του κράτους μέλους για την περίοδο αναφοράς από 1</w:t>
      </w:r>
      <w:r w:rsidR="008F3BE1" w:rsidRPr="00AE35C2">
        <w:rPr>
          <w:spacing w:val="-5"/>
          <w:vertAlign w:val="superscript"/>
        </w:rPr>
        <w:t>η</w:t>
      </w:r>
      <w:r w:rsidR="008F3BE1" w:rsidRPr="00AE35C2">
        <w:rPr>
          <w:spacing w:val="-5"/>
        </w:rPr>
        <w:t xml:space="preserve"> Αυγούστου έως 31 Μαρτίου κατά την πενταετία που προηγήθηκε της ημερομηνίας έναρξης ισχύος του παρόντος κανονισμού, αρχής γενομένης από την περίοδο από την 1η Αυγούστου 2017 έως τις 31 Μαρτίου 2018. Για τα κράτη μέλη όπου η κατανάλωση αερίου αυξήθηκε κατά τουλάχιστον 8 % την περίοδο από την 1η Αυγούστου 2021 έως τις 31 Μαρτίου 2022 σε σύγκριση με τη μέση κατανάλωση αερίου κατά τη διάρκεια της περιόδου αναφοράς, η κατανάλωση αναφοράς νοείται απλώς ως ο όγκος της κατανάλωσης αερίου την περίοδο από την 1η Αυγούστου 2021 έως τις 31 Μαρτίου 2022.</w:t>
      </w:r>
    </w:p>
    <w:p w14:paraId="2918EFC0" w14:textId="2CB53268"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4472C4"/>
          <w:spacing w:val="-5"/>
        </w:rPr>
      </w:pPr>
      <w:r w:rsidRPr="00AE35C2">
        <w:rPr>
          <w:spacing w:val="-5"/>
        </w:rPr>
        <w:t>Η</w:t>
      </w:r>
      <w:r w:rsidR="008F3BE1" w:rsidRPr="00AE35C2">
        <w:rPr>
          <w:spacing w:val="-5"/>
        </w:rPr>
        <w:t xml:space="preserve"> κατανάλωση της Χώρας στο διάστημα από την 1</w:t>
      </w:r>
      <w:r w:rsidR="008F3BE1" w:rsidRPr="00AE35C2">
        <w:rPr>
          <w:spacing w:val="-5"/>
          <w:vertAlign w:val="superscript"/>
        </w:rPr>
        <w:t>η</w:t>
      </w:r>
      <w:r w:rsidR="008F3BE1" w:rsidRPr="00AE35C2">
        <w:rPr>
          <w:spacing w:val="-5"/>
        </w:rPr>
        <w:t xml:space="preserve"> Αυγούστου 2021 έως τις 31 Μαρτίου 2022 έχει αυξηθεί πάνω από 8% σε σύγκριση με τη μέση κατανάλωση αερίου κατά τη διάρκεια της περιόδου αναφοράς. Συνεπώς η κατανάλωση αναφοράς, για την οποία θα πρέπει να επιτευχθεί μείωση σε ποσοστό 15%, νοείται ως η κατανάλωση στο διάστημα από την 1</w:t>
      </w:r>
      <w:r w:rsidR="008F3BE1" w:rsidRPr="00AE35C2">
        <w:rPr>
          <w:spacing w:val="-5"/>
          <w:vertAlign w:val="superscript"/>
        </w:rPr>
        <w:t>η</w:t>
      </w:r>
      <w:r w:rsidR="008F3BE1" w:rsidRPr="00AE35C2">
        <w:rPr>
          <w:spacing w:val="-5"/>
        </w:rPr>
        <w:t xml:space="preserve"> Αυγούστου 2021 έως τις 31 Μαρτίου 2022. Για το λόγο αυτό, ως κατανάλωση φυσικού αερίου για τον υπολογισμό των </w:t>
      </w:r>
      <w:proofErr w:type="spellStart"/>
      <w:r w:rsidR="008F3BE1" w:rsidRPr="00AE35C2">
        <w:rPr>
          <w:spacing w:val="-5"/>
        </w:rPr>
        <w:t>μοναδιαίων</w:t>
      </w:r>
      <w:proofErr w:type="spellEnd"/>
      <w:r w:rsidR="008F3BE1" w:rsidRPr="00AE35C2">
        <w:rPr>
          <w:spacing w:val="-5"/>
        </w:rPr>
        <w:t xml:space="preserve"> τελών ασφάλειας εφοδιασμού ανά κατηγορία καταναλωτή λαμβάνεται υπόψιν η κατανάλωση του έτους 2021, μειωμένη κατά 15%.</w:t>
      </w:r>
    </w:p>
    <w:p w14:paraId="3CB26D58" w14:textId="27C3E7A0" w:rsidR="008F3BE1" w:rsidRPr="00AE35C2" w:rsidRDefault="00E90955" w:rsidP="00570B99">
      <w:pPr>
        <w:pStyle w:val="a7"/>
        <w:numPr>
          <w:ilvl w:val="0"/>
          <w:numId w:val="4"/>
        </w:numPr>
        <w:tabs>
          <w:tab w:val="left" w:pos="720"/>
        </w:tabs>
        <w:spacing w:before="120" w:after="120" w:line="276" w:lineRule="auto"/>
        <w:ind w:right="46"/>
        <w:contextualSpacing w:val="0"/>
        <w:jc w:val="both"/>
        <w:rPr>
          <w:color w:val="000000"/>
          <w:spacing w:val="-5"/>
        </w:rPr>
      </w:pPr>
      <w:r w:rsidRPr="00AE35C2">
        <w:rPr>
          <w:spacing w:val="-5"/>
        </w:rPr>
        <w:t>Γ</w:t>
      </w:r>
      <w:r w:rsidR="008F3BE1" w:rsidRPr="00AE35C2">
        <w:rPr>
          <w:spacing w:val="-5"/>
        </w:rPr>
        <w:t xml:space="preserve">ια τον καθορισμό </w:t>
      </w:r>
      <w:r w:rsidR="008F3BE1" w:rsidRPr="00AE35C2">
        <w:rPr>
          <w:color w:val="000000"/>
          <w:spacing w:val="-5"/>
        </w:rPr>
        <w:t xml:space="preserve">του </w:t>
      </w:r>
      <w:proofErr w:type="spellStart"/>
      <w:r w:rsidR="008F3BE1" w:rsidRPr="00AE35C2">
        <w:rPr>
          <w:color w:val="000000"/>
          <w:spacing w:val="-5"/>
        </w:rPr>
        <w:t>μοναδιαίου</w:t>
      </w:r>
      <w:proofErr w:type="spellEnd"/>
      <w:r w:rsidR="008F3BE1" w:rsidRPr="00AE35C2">
        <w:rPr>
          <w:color w:val="000000"/>
          <w:spacing w:val="-5"/>
        </w:rPr>
        <w:t xml:space="preserve"> τέλους ασφάλειας εφοδιασμού κρίνεται σκόπιμος ο ορισμός αλγόριθμου ετήσιας αναπροσαρμογής του τέλους που να ελέγχει αυτόματα </w:t>
      </w:r>
      <w:r w:rsidR="008F3BE1" w:rsidRPr="00AE35C2">
        <w:rPr>
          <w:color w:val="000000"/>
          <w:spacing w:val="-5"/>
        </w:rPr>
        <w:lastRenderedPageBreak/>
        <w:t>το ύψος του τέλους συναρτήσει του ύψους του Λογαριασμού ασφάλειας εφοδιασμού, διατηρώντας έτσι το ύψος του λογαριασμού κάτω από το ανώτατο όριο. Ο έλεγχος αυτός μπορεί να επιτευχθεί μέσω συντελεστή αναπροσαρμογής του τέλους, C, ο οποίος υπολογίζεται σύμφωνα με τον ακόλουθο τύπο:</w:t>
      </w:r>
    </w:p>
    <w:p w14:paraId="1752ED06" w14:textId="39F010E6" w:rsidR="00E90955" w:rsidRPr="00AE35C2" w:rsidRDefault="00E90955" w:rsidP="00570B99">
      <w:pPr>
        <w:pStyle w:val="a7"/>
        <w:tabs>
          <w:tab w:val="left" w:pos="720"/>
        </w:tabs>
        <w:spacing w:before="120" w:after="120" w:line="276" w:lineRule="auto"/>
        <w:ind w:left="360" w:right="46"/>
        <w:contextualSpacing w:val="0"/>
        <w:jc w:val="center"/>
        <w:rPr>
          <w:color w:val="000000"/>
          <w:spacing w:val="-5"/>
        </w:rPr>
      </w:pPr>
      <m:oMath>
        <m:r>
          <w:rPr>
            <w:rFonts w:ascii="Cambria Math" w:eastAsia="Calibri" w:hAnsi="Cambria Math"/>
            <w:sz w:val="32"/>
            <w:szCs w:val="32"/>
            <w:lang w:eastAsia="en-US"/>
          </w:rPr>
          <m:t>C=1-</m:t>
        </m:r>
        <m:f>
          <m:fPr>
            <m:ctrlPr>
              <w:rPr>
                <w:rFonts w:ascii="Cambria Math" w:eastAsia="Calibri" w:hAnsi="Cambria Math"/>
                <w:i/>
                <w:sz w:val="32"/>
                <w:szCs w:val="32"/>
                <w:lang w:eastAsia="en-US"/>
              </w:rPr>
            </m:ctrlPr>
          </m:fPr>
          <m:num>
            <m:r>
              <w:rPr>
                <w:rFonts w:ascii="Cambria Math" w:eastAsia="Calibri" w:hAnsi="Cambria Math"/>
                <w:sz w:val="32"/>
                <w:szCs w:val="32"/>
                <w:lang w:eastAsia="en-US"/>
              </w:rPr>
              <m:t>ΤΥΛ</m:t>
            </m:r>
          </m:num>
          <m:den>
            <m:r>
              <m:rPr>
                <m:sty m:val="p"/>
              </m:rPr>
              <w:rPr>
                <w:rFonts w:ascii="Cambria Math" w:eastAsia="Calibri" w:hAnsi="Cambria Math"/>
                <w:sz w:val="32"/>
                <w:szCs w:val="32"/>
                <w:lang w:eastAsia="en-US"/>
              </w:rPr>
              <m:t>EΚ</m:t>
            </m:r>
          </m:den>
        </m:f>
      </m:oMath>
      <w:r w:rsidRPr="00AE35C2">
        <w:rPr>
          <w:color w:val="000000"/>
          <w:spacing w:val="-5"/>
        </w:rPr>
        <w:tab/>
        <w:t>(1)</w:t>
      </w:r>
    </w:p>
    <w:p w14:paraId="6507957D" w14:textId="77777777" w:rsidR="00E90955" w:rsidRPr="00E90955" w:rsidRDefault="00E90955" w:rsidP="00570B99">
      <w:pPr>
        <w:tabs>
          <w:tab w:val="left" w:pos="720"/>
        </w:tabs>
        <w:suppressAutoHyphens/>
        <w:spacing w:before="120" w:after="120" w:line="276" w:lineRule="auto"/>
        <w:ind w:left="426" w:right="46"/>
        <w:jc w:val="both"/>
        <w:rPr>
          <w:color w:val="000000"/>
          <w:spacing w:val="-5"/>
          <w:lang w:eastAsia="ar-SA"/>
        </w:rPr>
      </w:pPr>
      <w:r w:rsidRPr="00E90955">
        <w:rPr>
          <w:color w:val="000000"/>
          <w:spacing w:val="-5"/>
          <w:lang w:eastAsia="ar-SA"/>
        </w:rPr>
        <w:t xml:space="preserve">όπου ΤΥΛ είναι το τρέχον ύψος λογαριασμού ασφάλειας εφοδιασμού σε εκ. € και ΕΚ είναι το ετήσιο κόστος που απαιτείται για τη χρηματοδότηση των εκάστοτε εγκεκριμένων δράσεων. Ο συντελεστής </w:t>
      </w:r>
      <w:r w:rsidRPr="00E90955">
        <w:rPr>
          <w:color w:val="000000"/>
          <w:spacing w:val="-5"/>
          <w:lang w:val="en-US" w:eastAsia="ar-SA"/>
        </w:rPr>
        <w:t>C</w:t>
      </w:r>
      <w:r w:rsidRPr="00E90955">
        <w:rPr>
          <w:color w:val="000000"/>
          <w:spacing w:val="-5"/>
          <w:lang w:eastAsia="ar-SA"/>
        </w:rPr>
        <w:t xml:space="preserve"> λαμβάνει τιμές από 0 έως 1 και αναπροσαρμόζεται ετησίως από τον Διαχειριστή του ΕΣΦΑ, ώστε το ύψος του λογαριασμού ασφάλειας εφοδιασμού να μην υπερβεί το ανώτατο όριο που καθορίζεται </w:t>
      </w:r>
      <w:r w:rsidRPr="00E90955">
        <w:rPr>
          <w:spacing w:val="-5"/>
          <w:lang w:eastAsia="ar-SA"/>
        </w:rPr>
        <w:t xml:space="preserve">στην Ενότητα </w:t>
      </w:r>
      <w:r w:rsidRPr="00E90955">
        <w:rPr>
          <w:spacing w:val="-5"/>
          <w:lang w:val="en-US" w:eastAsia="ar-SA"/>
        </w:rPr>
        <w:t>Z</w:t>
      </w:r>
      <w:r w:rsidRPr="00E90955">
        <w:rPr>
          <w:color w:val="000000"/>
          <w:spacing w:val="-5"/>
          <w:lang w:eastAsia="ar-SA"/>
        </w:rPr>
        <w:t xml:space="preserve">. </w:t>
      </w:r>
    </w:p>
    <w:p w14:paraId="74920A59" w14:textId="699DC902" w:rsidR="00E90955" w:rsidRPr="00AE35C2" w:rsidRDefault="00E90955"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t>Γ</w:t>
      </w:r>
      <w:r w:rsidRPr="00952CAA">
        <w:rPr>
          <w:spacing w:val="-5"/>
        </w:rPr>
        <w:t>ια κάθε επόμενο έτος εφαρμογής ο Διαχειριστής του ΕΣΦΑ ανακοινώνει έως τις 30 Απριλίου κάθε έτους την ισχύουσα τιμή του C για τους επόμενους 12 μήνες. Σε ενδεχόμενο αρνητικό αποτέλεσμα του τύπου (1), ο συντελεστής C ορίζεται ίσος με μηδέν.</w:t>
      </w:r>
    </w:p>
    <w:p w14:paraId="21A3E50E" w14:textId="20F271E8" w:rsidR="00E90955" w:rsidRPr="00AE35C2" w:rsidRDefault="00E90955"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t>Με βάση τις ως άνω σκέψεις, ορίζεται το μοναδιαίο τέλος ασφάλειας εφοδιασμού που καταβάλλουν οι Χρήστες για κάθε κατηγορία κατανάλωσης φυσικού αερίου ως εξής:</w:t>
      </w:r>
    </w:p>
    <w:p w14:paraId="27971325" w14:textId="11F83CB3" w:rsidR="00E90955" w:rsidRPr="00AE35C2" w:rsidRDefault="00E90955" w:rsidP="00570B99">
      <w:pPr>
        <w:pStyle w:val="a7"/>
        <w:numPr>
          <w:ilvl w:val="0"/>
          <w:numId w:val="11"/>
        </w:numPr>
        <w:spacing w:before="120" w:after="120" w:line="276" w:lineRule="auto"/>
        <w:ind w:right="46"/>
        <w:contextualSpacing w:val="0"/>
        <w:jc w:val="both"/>
        <w:rPr>
          <w:spacing w:val="-5"/>
        </w:rPr>
      </w:pPr>
      <w:r w:rsidRPr="00AE35C2">
        <w:rPr>
          <w:spacing w:val="-5"/>
        </w:rPr>
        <w:t xml:space="preserve">0 €/ </w:t>
      </w:r>
      <w:r w:rsidRPr="00AE35C2">
        <w:rPr>
          <w:spacing w:val="-5"/>
          <w:lang w:val="en-US"/>
        </w:rPr>
        <w:t>MWh</w:t>
      </w:r>
      <w:r w:rsidRPr="00AE35C2">
        <w:rPr>
          <w:spacing w:val="-5"/>
        </w:rPr>
        <w:t xml:space="preserve"> για την κατανάλωση φυσικού αερίου από </w:t>
      </w:r>
      <w:proofErr w:type="spellStart"/>
      <w:r w:rsidRPr="00AE35C2">
        <w:rPr>
          <w:spacing w:val="-5"/>
        </w:rPr>
        <w:t>διακόψιμους</w:t>
      </w:r>
      <w:proofErr w:type="spellEnd"/>
      <w:r w:rsidRPr="00AE35C2">
        <w:rPr>
          <w:spacing w:val="-5"/>
        </w:rPr>
        <w:t xml:space="preserve"> καταναλωτές φυσικού αερίου και μονάδες φυσικού αερίου με δυνατότητα εναλλακτικού καυσίμου.</w:t>
      </w:r>
    </w:p>
    <w:p w14:paraId="69C629BC" w14:textId="7D869A5D" w:rsidR="00E90955" w:rsidRPr="00AE35C2" w:rsidRDefault="00E90955" w:rsidP="00570B99">
      <w:pPr>
        <w:pStyle w:val="a7"/>
        <w:numPr>
          <w:ilvl w:val="0"/>
          <w:numId w:val="11"/>
        </w:numPr>
        <w:spacing w:before="120" w:after="120" w:line="276" w:lineRule="auto"/>
        <w:ind w:right="46"/>
        <w:contextualSpacing w:val="0"/>
        <w:jc w:val="both"/>
        <w:rPr>
          <w:spacing w:val="-5"/>
        </w:rPr>
      </w:pPr>
      <w:r w:rsidRPr="00AE35C2">
        <w:rPr>
          <w:spacing w:val="-5"/>
          <w:lang w:val="en-US"/>
        </w:rPr>
        <w:t>C</w:t>
      </w:r>
      <w:r w:rsidRPr="00AE35C2">
        <w:rPr>
          <w:spacing w:val="-5"/>
        </w:rPr>
        <w:t xml:space="preserve"> </w:t>
      </w:r>
      <w:r w:rsidRPr="00AE35C2">
        <w:rPr>
          <w:spacing w:val="-5"/>
          <w:lang w:val="en-US"/>
        </w:rPr>
        <w:t>x</w:t>
      </w:r>
      <w:r w:rsidRPr="00AE35C2">
        <w:rPr>
          <w:spacing w:val="-5"/>
        </w:rPr>
        <w:t xml:space="preserve"> 1,68 €/</w:t>
      </w:r>
      <w:r w:rsidRPr="00AE35C2">
        <w:rPr>
          <w:spacing w:val="-5"/>
          <w:lang w:val="en-US"/>
        </w:rPr>
        <w:t>MWh</w:t>
      </w:r>
      <w:r w:rsidRPr="00AE35C2">
        <w:rPr>
          <w:spacing w:val="-5"/>
        </w:rPr>
        <w:t xml:space="preserve"> για την κατανάλωση φυσικού αερίου αποκλειστικά για την παραγωγή ηλεκτρικής ενέργειας.</w:t>
      </w:r>
    </w:p>
    <w:p w14:paraId="723C1372" w14:textId="319E3563" w:rsidR="00E90955" w:rsidRPr="00AE35C2" w:rsidRDefault="00E90955" w:rsidP="00570B99">
      <w:pPr>
        <w:pStyle w:val="a7"/>
        <w:numPr>
          <w:ilvl w:val="0"/>
          <w:numId w:val="11"/>
        </w:numPr>
        <w:spacing w:before="120" w:after="120" w:line="276" w:lineRule="auto"/>
        <w:ind w:right="46"/>
        <w:contextualSpacing w:val="0"/>
        <w:jc w:val="both"/>
        <w:rPr>
          <w:spacing w:val="-5"/>
        </w:rPr>
      </w:pPr>
      <w:r w:rsidRPr="00AE35C2">
        <w:rPr>
          <w:spacing w:val="-5"/>
          <w:lang w:val="en-US"/>
        </w:rPr>
        <w:t>C</w:t>
      </w:r>
      <w:r w:rsidRPr="00AE35C2">
        <w:rPr>
          <w:spacing w:val="-5"/>
        </w:rPr>
        <w:t xml:space="preserve"> </w:t>
      </w:r>
      <w:r w:rsidRPr="00AE35C2">
        <w:rPr>
          <w:spacing w:val="-5"/>
          <w:lang w:val="en-US"/>
        </w:rPr>
        <w:t>x</w:t>
      </w:r>
      <w:r w:rsidRPr="00AE35C2">
        <w:rPr>
          <w:spacing w:val="-5"/>
        </w:rPr>
        <w:t xml:space="preserve"> 1,00 €/</w:t>
      </w:r>
      <w:r w:rsidRPr="00AE35C2">
        <w:rPr>
          <w:spacing w:val="-5"/>
          <w:lang w:val="en-US"/>
        </w:rPr>
        <w:t>MWh</w:t>
      </w:r>
      <w:r w:rsidRPr="00AE35C2">
        <w:rPr>
          <w:spacing w:val="-5"/>
        </w:rPr>
        <w:t xml:space="preserve"> για όλες τις υπόλοιπες καταναλώσεις φυσικού αερίου.</w:t>
      </w:r>
    </w:p>
    <w:p w14:paraId="05C2E9D0" w14:textId="77777777" w:rsidR="00E90955" w:rsidRPr="00AE35C2" w:rsidRDefault="00E90955" w:rsidP="00570B99">
      <w:pPr>
        <w:pStyle w:val="a7"/>
        <w:numPr>
          <w:ilvl w:val="0"/>
          <w:numId w:val="11"/>
        </w:numPr>
        <w:spacing w:before="120" w:after="120" w:line="276" w:lineRule="auto"/>
        <w:ind w:right="46"/>
        <w:contextualSpacing w:val="0"/>
        <w:jc w:val="both"/>
        <w:rPr>
          <w:spacing w:val="-5"/>
        </w:rPr>
      </w:pPr>
      <w:r w:rsidRPr="00AE35C2">
        <w:rPr>
          <w:spacing w:val="-5"/>
          <w:lang w:val="en-US"/>
        </w:rPr>
        <w:t>C</w:t>
      </w:r>
      <w:r w:rsidRPr="00AE35C2">
        <w:rPr>
          <w:spacing w:val="-5"/>
        </w:rPr>
        <w:t xml:space="preserve"> </w:t>
      </w:r>
      <w:r w:rsidRPr="00AE35C2">
        <w:rPr>
          <w:spacing w:val="-5"/>
          <w:lang w:val="en-US"/>
        </w:rPr>
        <w:t>x</w:t>
      </w:r>
      <w:r w:rsidRPr="00AE35C2">
        <w:rPr>
          <w:spacing w:val="-5"/>
        </w:rPr>
        <w:t xml:space="preserve"> 2,40 €/</w:t>
      </w:r>
      <w:r w:rsidRPr="00AE35C2">
        <w:rPr>
          <w:spacing w:val="-5"/>
          <w:lang w:val="en-US"/>
        </w:rPr>
        <w:t>MWh</w:t>
      </w:r>
      <w:r w:rsidRPr="00AE35C2">
        <w:rPr>
          <w:spacing w:val="-5"/>
        </w:rPr>
        <w:t xml:space="preserve"> για την κατανάλωση φυσικού αερίου από Προστατευόμενους καταναλωτές. </w:t>
      </w:r>
    </w:p>
    <w:p w14:paraId="7FE35700" w14:textId="5991AF9E" w:rsidR="00433FED" w:rsidRPr="00AE35C2" w:rsidRDefault="00570B99" w:rsidP="00570B99">
      <w:pPr>
        <w:keepNext/>
        <w:keepLines/>
        <w:tabs>
          <w:tab w:val="left" w:pos="720"/>
        </w:tabs>
        <w:suppressAutoHyphens/>
        <w:spacing w:before="240" w:after="60" w:line="276" w:lineRule="auto"/>
        <w:jc w:val="both"/>
        <w:rPr>
          <w:rFonts w:ascii="Calibri" w:hAnsi="Calibri" w:cs="Calibri"/>
          <w:b/>
          <w:bCs/>
          <w:color w:val="808080"/>
          <w:spacing w:val="-5"/>
          <w:kern w:val="28"/>
          <w:sz w:val="28"/>
          <w:szCs w:val="28"/>
          <w:lang w:eastAsia="en-US"/>
        </w:rPr>
      </w:pPr>
      <w:r w:rsidRPr="00AE35C2">
        <w:rPr>
          <w:rFonts w:ascii="Calibri" w:hAnsi="Calibri" w:cs="Calibri"/>
          <w:b/>
          <w:bCs/>
          <w:color w:val="808080"/>
          <w:spacing w:val="-5"/>
          <w:kern w:val="28"/>
          <w:sz w:val="28"/>
          <w:szCs w:val="28"/>
          <w:lang w:eastAsia="en-US"/>
        </w:rPr>
        <w:t xml:space="preserve">Θ. </w:t>
      </w:r>
      <w:r w:rsidR="00D556D1" w:rsidRPr="00AE35C2">
        <w:rPr>
          <w:rFonts w:ascii="Calibri" w:hAnsi="Calibri" w:cs="Calibri"/>
          <w:b/>
          <w:bCs/>
          <w:color w:val="808080"/>
          <w:spacing w:val="-5"/>
          <w:kern w:val="28"/>
          <w:sz w:val="28"/>
          <w:szCs w:val="28"/>
          <w:lang w:eastAsia="en-US"/>
        </w:rPr>
        <w:t>Θέματα διαχείρισης λογαριασμού ασφάλειας εφοδιασμού</w:t>
      </w:r>
    </w:p>
    <w:p w14:paraId="525D6F6E" w14:textId="7F27842C" w:rsidR="00D556D1" w:rsidRPr="00AE35C2" w:rsidRDefault="00D556D1"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rPr>
        <w:t>Ο</w:t>
      </w:r>
      <w:r w:rsidRPr="00D556D1">
        <w:rPr>
          <w:spacing w:val="-5"/>
        </w:rPr>
        <w:t xml:space="preserve"> Διαχειριστής του ΕΣΦΑ, σύμφωνα με τις διατάξεις του Ν. 4001/2011 εισπράττει το τέλος ασφάλειας εφοδιασμού από τους Χρήστες και τηρεί χωριστό λογαριασμό για τις δραστηριότητες αυτές. Για τον σκοπό αυτό η ΡΑΕ κρίνει σκόπιμο να τηρεί ο Διαχειριστής ξεχωριστό έντοκο Λογαριασμό Ασφάλειας Εφοδιασμού με τις εισροές και εκροές που αφορούν σε θέματα ασφάλειας εφοδιασμού, και οι οποίες περιλαμβάνουν ιδίως τα ανταλλάγματα και τις αποζημιώσεις, όπως προβλέπονται στο </w:t>
      </w:r>
      <w:proofErr w:type="spellStart"/>
      <w:r w:rsidRPr="00D556D1">
        <w:rPr>
          <w:spacing w:val="-5"/>
        </w:rPr>
        <w:t>εγκριθέν</w:t>
      </w:r>
      <w:proofErr w:type="spellEnd"/>
      <w:r w:rsidRPr="00D556D1">
        <w:rPr>
          <w:spacing w:val="-5"/>
        </w:rPr>
        <w:t xml:space="preserve"> Σχέδιο Προληπτικής Δράσης και στις συμβάσεις των παραγράφων 4 και 5 του άρθρου 73 του Ν. 4001/2011, καθώς και στις διατάξεις του άρθρου 116 του ν. 4951/2022, τα ποσά από την καταβολή του τέλους ασφάλειας εφοδιασμού στον Διαχειριστή του ΕΣΦΑ από τους Χρήστες καθώς και τα πρόστιμα που επιβάλλονται με απόφαση της ΡΑΕ για παραβίαση υποχρεώσεων που προβλέπει το κείμενο νομοθετικό και ρυθμιστικό πλαίσιο για την ασφάλεια εφοδιασμού της Χώρας με </w:t>
      </w:r>
      <w:r w:rsidRPr="00D556D1">
        <w:rPr>
          <w:spacing w:val="-5"/>
        </w:rPr>
        <w:lastRenderedPageBreak/>
        <w:t xml:space="preserve">φυσικό αέριο. Ο Λογαριασμός αυτός κρίνεται σκόπιμο να ανατροφοδοτείται από τους τόκους που προκύπτουν από το απόθεμα του λογαριασμού αυτού, προκειμένου να ελαχιστοποιηθεί η επιβάρυνση των τελικών καταναλωτών. </w:t>
      </w:r>
    </w:p>
    <w:p w14:paraId="6588A38E" w14:textId="4B3C1269" w:rsidR="00D556D1" w:rsidRPr="00AE35C2" w:rsidRDefault="00D556D1" w:rsidP="00570B99">
      <w:pPr>
        <w:pStyle w:val="a7"/>
        <w:numPr>
          <w:ilvl w:val="0"/>
          <w:numId w:val="4"/>
        </w:numPr>
        <w:tabs>
          <w:tab w:val="left" w:pos="720"/>
        </w:tabs>
        <w:spacing w:before="120" w:after="120" w:line="276" w:lineRule="auto"/>
        <w:ind w:right="46"/>
        <w:contextualSpacing w:val="0"/>
        <w:jc w:val="both"/>
        <w:rPr>
          <w:spacing w:val="-5"/>
        </w:rPr>
      </w:pPr>
      <w:r w:rsidRPr="00AE35C2">
        <w:rPr>
          <w:color w:val="000000"/>
          <w:spacing w:val="-5"/>
          <w:lang w:eastAsia="en-US"/>
        </w:rPr>
        <w:t xml:space="preserve">Σε περίπτωση που το υπόλοιπο του λογαριασμού Ασφάλειας Εφοδιασμού που τηρεί ο Διαχειριστής, δεν επαρκεί για την κάλυψη του συνόλου των υποχρεώσεών του, στο πλαίσιο των οριζόμενων στο άρθρο 73 του Ν. 4001/2011 και το εγκεκριμένο Σχέδιο Προληπτικής Δράσης, η ΔΕΣΦΑ Α.Ε. κρίνεται σκόπιμο να διασφαλίσει την άμεση διαθεσιμότητα κεφαλαίου στο Λογαριασμό Ασφάλειας Εφοδιασμού για την πλήρη άμεση αποζημίωση των δικαιούχων. Σε περίπτωση που για το σκοπό αυτό η ΔΕΣΦΑ Α.Ε. υπόκειται σε κάποιο χρηματοοικονομικό κόστος, το απολύτως αιτιολογημένο αυτό κόστος  θα συμπεριληφθεί στο προς ανάκτηση </w:t>
      </w:r>
      <w:r w:rsidRPr="00AE35C2">
        <w:rPr>
          <w:color w:val="000000"/>
          <w:lang w:eastAsia="ar-SA"/>
        </w:rPr>
        <w:t>τέλος ασφάλειας εφοδιασμού</w:t>
      </w:r>
      <w:r w:rsidRPr="00AE35C2">
        <w:rPr>
          <w:color w:val="000000"/>
          <w:spacing w:val="-5"/>
          <w:lang w:eastAsia="en-US"/>
        </w:rPr>
        <w:t xml:space="preserve">, μετά από έγκριση της ΡΑΕ. </w:t>
      </w:r>
    </w:p>
    <w:p w14:paraId="45F75B33" w14:textId="1A053A82" w:rsidR="00D556D1" w:rsidRPr="00AE35C2" w:rsidRDefault="00D556D1" w:rsidP="00570B99">
      <w:pPr>
        <w:pStyle w:val="a7"/>
        <w:numPr>
          <w:ilvl w:val="0"/>
          <w:numId w:val="4"/>
        </w:numPr>
        <w:tabs>
          <w:tab w:val="left" w:pos="720"/>
        </w:tabs>
        <w:spacing w:before="120" w:after="120" w:line="276" w:lineRule="auto"/>
        <w:ind w:right="46"/>
        <w:contextualSpacing w:val="0"/>
        <w:jc w:val="both"/>
        <w:rPr>
          <w:spacing w:val="-5"/>
        </w:rPr>
      </w:pPr>
      <w:r w:rsidRPr="00AE35C2">
        <w:rPr>
          <w:spacing w:val="-5"/>
          <w:lang w:eastAsia="en-US"/>
        </w:rPr>
        <w:t xml:space="preserve">Για λόγους διαφάνειας, ενημέρωσης των συμμετεχόντων στην αγορά φυσικού αερίου και εποπτείας του λογαριασμού ασφάλειας εφοδιασμού από τη ΡΑΕ κρίνεται σκόπιμο όπως ο Διαχειριστής του ΕΣΦΑ αναρτά στην ιστοσελίδα του ετησίως, και υποβάλει στη ΡΑΕ τριμηνιαία ενημέρωση σχετικά με τις εκταμιεύσεις που πραγματοποίησε από το λογαριασμό κατά το </w:t>
      </w:r>
      <w:proofErr w:type="spellStart"/>
      <w:r w:rsidRPr="00AE35C2">
        <w:rPr>
          <w:spacing w:val="-5"/>
          <w:lang w:eastAsia="en-US"/>
        </w:rPr>
        <w:t>προηγηθέν</w:t>
      </w:r>
      <w:proofErr w:type="spellEnd"/>
      <w:r w:rsidRPr="00AE35C2">
        <w:rPr>
          <w:spacing w:val="-5"/>
          <w:lang w:eastAsia="en-US"/>
        </w:rPr>
        <w:t xml:space="preserve"> τρίμηνο και το υπόλοιπο του λογαριασμού, όπως διαμορφώθηκε κατόπιν των εκταμιεύσεων, καθώς και ετήσια έκθεση έως τις 31 Μαρτίου κάθε έτους σχετικά με τις κινήσεις και το υπόλοιπο του λογαριασμού αυτού.</w:t>
      </w:r>
    </w:p>
    <w:p w14:paraId="4F8D90C9" w14:textId="77777777" w:rsidR="00780A96" w:rsidRPr="00AE35C2" w:rsidRDefault="00780A96" w:rsidP="00570B99">
      <w:pPr>
        <w:spacing w:line="276" w:lineRule="auto"/>
        <w:jc w:val="both"/>
      </w:pPr>
    </w:p>
    <w:p w14:paraId="04F85D8B" w14:textId="77777777" w:rsidR="00542486" w:rsidRDefault="00542486" w:rsidP="00570B99"/>
    <w:sectPr w:rsidR="0054248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F4CF" w14:textId="77777777" w:rsidR="00390C29" w:rsidRDefault="00390C29" w:rsidP="003A39E4">
      <w:r>
        <w:separator/>
      </w:r>
    </w:p>
  </w:endnote>
  <w:endnote w:type="continuationSeparator" w:id="0">
    <w:p w14:paraId="55C6073B" w14:textId="77777777" w:rsidR="00390C29" w:rsidRDefault="00390C29" w:rsidP="003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669893"/>
      <w:docPartObj>
        <w:docPartGallery w:val="Page Numbers (Bottom of Page)"/>
        <w:docPartUnique/>
      </w:docPartObj>
    </w:sdtPr>
    <w:sdtContent>
      <w:p w14:paraId="62D6B807" w14:textId="77777777" w:rsidR="007816B5" w:rsidRDefault="007816B5">
        <w:pPr>
          <w:pStyle w:val="a6"/>
          <w:jc w:val="right"/>
        </w:pPr>
        <w:r>
          <w:fldChar w:fldCharType="begin"/>
        </w:r>
        <w:r>
          <w:instrText>PAGE   \* MERGEFORMAT</w:instrText>
        </w:r>
        <w:r>
          <w:fldChar w:fldCharType="separate"/>
        </w:r>
        <w:r>
          <w:t>2</w:t>
        </w:r>
        <w:r>
          <w:fldChar w:fldCharType="end"/>
        </w:r>
      </w:p>
    </w:sdtContent>
  </w:sdt>
  <w:p w14:paraId="625EDB14" w14:textId="77777777" w:rsidR="007816B5" w:rsidRDefault="00781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7DE1" w14:textId="77777777" w:rsidR="00390C29" w:rsidRDefault="00390C29" w:rsidP="003A39E4">
      <w:r>
        <w:separator/>
      </w:r>
    </w:p>
  </w:footnote>
  <w:footnote w:type="continuationSeparator" w:id="0">
    <w:p w14:paraId="3672818C" w14:textId="77777777" w:rsidR="00390C29" w:rsidRDefault="00390C29" w:rsidP="003A39E4">
      <w:r>
        <w:continuationSeparator/>
      </w:r>
    </w:p>
  </w:footnote>
  <w:footnote w:id="1">
    <w:p w14:paraId="38B5812D" w14:textId="5277338E" w:rsidR="007816B5" w:rsidRDefault="007816B5" w:rsidP="00AF4580">
      <w:pPr>
        <w:pStyle w:val="ac"/>
        <w:jc w:val="both"/>
      </w:pPr>
      <w:r>
        <w:rPr>
          <w:rStyle w:val="ad"/>
        </w:rPr>
        <w:footnoteRef/>
      </w:r>
      <w:r>
        <w:t xml:space="preserve"> </w:t>
      </w:r>
      <w:bookmarkStart w:id="5" w:name="_Hlk115434415"/>
      <w:r>
        <w:t>Δ</w:t>
      </w:r>
      <w:r w:rsidRPr="00AF4580">
        <w:t xml:space="preserve">ημόσια διαβούλευση επί της Μελέτης Κόστους Οφέλους του ΔΕΣΦΑ για την προσθήκη πλωτής δεξαμενής LNG στον τερματικό σταθμό της Ρεβυθούσας για λόγους ασφάλειας εφοδιασμού που </w:t>
      </w:r>
      <w:r w:rsidRPr="00B47152">
        <w:t xml:space="preserve">διενεργήθηκε από τις </w:t>
      </w:r>
      <w:bookmarkEnd w:id="5"/>
      <w:r w:rsidRPr="00B47152">
        <w:t>08.04.2022 έως και τις 15.0</w:t>
      </w:r>
      <w:r w:rsidR="00B47152" w:rsidRPr="00B47152">
        <w:t>4</w:t>
      </w:r>
      <w:r w:rsidRPr="00B47152">
        <w:t>.2022</w:t>
      </w:r>
      <w:r w:rsidR="00B47152">
        <w:t xml:space="preserve"> [</w:t>
      </w:r>
      <w:r w:rsidR="00B47152" w:rsidRPr="00B47152">
        <w:t>https://www.rae.gr/diavoulefseis/29418/</w:t>
      </w:r>
      <w:r w:rsidR="00B47152">
        <w:t xml:space="preserve"> και </w:t>
      </w:r>
      <w:r w:rsidR="00B47152" w:rsidRPr="00B47152">
        <w:t>https://www.rae.gr/anakoinoseis/31097/</w:t>
      </w:r>
      <w:r w:rsidR="00B47152">
        <w:t>]</w:t>
      </w:r>
      <w:r w:rsidRPr="00B4715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A72"/>
    <w:multiLevelType w:val="hybridMultilevel"/>
    <w:tmpl w:val="0D164C30"/>
    <w:lvl w:ilvl="0" w:tplc="84C29BBE">
      <w:start w:val="1"/>
      <w:numFmt w:val="decimal"/>
      <w:lvlText w:val="%1."/>
      <w:lvlJc w:val="left"/>
      <w:pPr>
        <w:ind w:left="360" w:hanging="360"/>
      </w:pPr>
      <w:rPr>
        <w:rFonts w:ascii="Times New Roman" w:hAnsi="Times New Roman" w:cs="Times New Roman" w:hint="default"/>
        <w:b/>
        <w:bCs/>
        <w:i w:val="0"/>
        <w:iCs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07194C"/>
    <w:multiLevelType w:val="hybridMultilevel"/>
    <w:tmpl w:val="74AE9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5D385A"/>
    <w:multiLevelType w:val="hybridMultilevel"/>
    <w:tmpl w:val="12361F84"/>
    <w:lvl w:ilvl="0" w:tplc="3274FCD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C7807C2"/>
    <w:multiLevelType w:val="hybridMultilevel"/>
    <w:tmpl w:val="9F58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4B4FE1"/>
    <w:multiLevelType w:val="hybridMultilevel"/>
    <w:tmpl w:val="6CE2A578"/>
    <w:lvl w:ilvl="0" w:tplc="6410374E">
      <w:start w:val="1"/>
      <w:numFmt w:val="decimal"/>
      <w:lvlText w:val="%1."/>
      <w:lvlJc w:val="left"/>
      <w:pPr>
        <w:ind w:left="360" w:hanging="360"/>
      </w:pPr>
      <w:rPr>
        <w:b/>
        <w:bCs/>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9324A0B"/>
    <w:multiLevelType w:val="multilevel"/>
    <w:tmpl w:val="283E39E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E773E0A"/>
    <w:multiLevelType w:val="hybridMultilevel"/>
    <w:tmpl w:val="9C563944"/>
    <w:lvl w:ilvl="0" w:tplc="3274FCD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8565F4"/>
    <w:multiLevelType w:val="hybridMultilevel"/>
    <w:tmpl w:val="588A0A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3209EB"/>
    <w:multiLevelType w:val="hybridMultilevel"/>
    <w:tmpl w:val="58A641BE"/>
    <w:lvl w:ilvl="0" w:tplc="6410374E">
      <w:start w:val="1"/>
      <w:numFmt w:val="decimal"/>
      <w:lvlText w:val="%1."/>
      <w:lvlJc w:val="left"/>
      <w:pPr>
        <w:ind w:left="720" w:hanging="360"/>
      </w:pPr>
      <w:rPr>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4ED7026"/>
    <w:multiLevelType w:val="hybridMultilevel"/>
    <w:tmpl w:val="5C660BEC"/>
    <w:lvl w:ilvl="0" w:tplc="3274FCD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D9736A"/>
    <w:multiLevelType w:val="hybridMultilevel"/>
    <w:tmpl w:val="0316BBAC"/>
    <w:lvl w:ilvl="0" w:tplc="3274FCD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68521288">
    <w:abstractNumId w:val="2"/>
  </w:num>
  <w:num w:numId="2" w16cid:durableId="835387658">
    <w:abstractNumId w:val="9"/>
  </w:num>
  <w:num w:numId="3" w16cid:durableId="911424957">
    <w:abstractNumId w:val="6"/>
  </w:num>
  <w:num w:numId="4" w16cid:durableId="1893151409">
    <w:abstractNumId w:val="0"/>
  </w:num>
  <w:num w:numId="5" w16cid:durableId="90318202">
    <w:abstractNumId w:val="1"/>
  </w:num>
  <w:num w:numId="6" w16cid:durableId="806121411">
    <w:abstractNumId w:val="3"/>
  </w:num>
  <w:num w:numId="7" w16cid:durableId="1352415420">
    <w:abstractNumId w:val="8"/>
  </w:num>
  <w:num w:numId="8" w16cid:durableId="1632974460">
    <w:abstractNumId w:val="4"/>
  </w:num>
  <w:num w:numId="9" w16cid:durableId="493254130">
    <w:abstractNumId w:val="10"/>
  </w:num>
  <w:num w:numId="10" w16cid:durableId="1972779811">
    <w:abstractNumId w:val="5"/>
  </w:num>
  <w:num w:numId="11" w16cid:durableId="611476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C2"/>
    <w:rsid w:val="000954EE"/>
    <w:rsid w:val="000C1B73"/>
    <w:rsid w:val="000C4DBA"/>
    <w:rsid w:val="001A05F2"/>
    <w:rsid w:val="001A4FBA"/>
    <w:rsid w:val="001B2A4D"/>
    <w:rsid w:val="00231169"/>
    <w:rsid w:val="00301148"/>
    <w:rsid w:val="00321DBC"/>
    <w:rsid w:val="00385DC8"/>
    <w:rsid w:val="00390C29"/>
    <w:rsid w:val="003A39E4"/>
    <w:rsid w:val="003B452E"/>
    <w:rsid w:val="00433FED"/>
    <w:rsid w:val="004441C3"/>
    <w:rsid w:val="004629E7"/>
    <w:rsid w:val="004A0963"/>
    <w:rsid w:val="0050566A"/>
    <w:rsid w:val="00532002"/>
    <w:rsid w:val="00542486"/>
    <w:rsid w:val="00570B99"/>
    <w:rsid w:val="005767B8"/>
    <w:rsid w:val="0058058B"/>
    <w:rsid w:val="005B6440"/>
    <w:rsid w:val="006B260F"/>
    <w:rsid w:val="006B53A6"/>
    <w:rsid w:val="007113B8"/>
    <w:rsid w:val="00780A96"/>
    <w:rsid w:val="007816B5"/>
    <w:rsid w:val="007B5AA1"/>
    <w:rsid w:val="007D5492"/>
    <w:rsid w:val="007E144A"/>
    <w:rsid w:val="00821C62"/>
    <w:rsid w:val="00825F32"/>
    <w:rsid w:val="00853C38"/>
    <w:rsid w:val="008F3BE1"/>
    <w:rsid w:val="0091159D"/>
    <w:rsid w:val="00940E24"/>
    <w:rsid w:val="009830C8"/>
    <w:rsid w:val="00AA1715"/>
    <w:rsid w:val="00AE35C2"/>
    <w:rsid w:val="00AF4580"/>
    <w:rsid w:val="00B47152"/>
    <w:rsid w:val="00BD4D36"/>
    <w:rsid w:val="00C35CA0"/>
    <w:rsid w:val="00D556D1"/>
    <w:rsid w:val="00E524AB"/>
    <w:rsid w:val="00E625A8"/>
    <w:rsid w:val="00E90955"/>
    <w:rsid w:val="00E90C72"/>
    <w:rsid w:val="00F06710"/>
    <w:rsid w:val="00F13A10"/>
    <w:rsid w:val="00F861C2"/>
    <w:rsid w:val="00F9602C"/>
    <w:rsid w:val="00FF75F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EC8F"/>
  <w15:chartTrackingRefBased/>
  <w15:docId w15:val="{4409024F-F7D0-436D-A9F6-CB793D00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4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30C8"/>
    <w:rPr>
      <w:rFonts w:ascii="Segoe UI" w:hAnsi="Segoe UI" w:cs="Segoe UI"/>
      <w:sz w:val="18"/>
      <w:szCs w:val="18"/>
    </w:rPr>
  </w:style>
  <w:style w:type="character" w:customStyle="1" w:styleId="Char">
    <w:name w:val="Κείμενο πλαισίου Char"/>
    <w:basedOn w:val="a0"/>
    <w:link w:val="a3"/>
    <w:uiPriority w:val="99"/>
    <w:semiHidden/>
    <w:rsid w:val="009830C8"/>
    <w:rPr>
      <w:rFonts w:ascii="Segoe UI" w:eastAsia="Times New Roman" w:hAnsi="Segoe UI" w:cs="Segoe UI"/>
      <w:sz w:val="18"/>
      <w:szCs w:val="18"/>
      <w:lang w:eastAsia="el-GR"/>
    </w:rPr>
  </w:style>
  <w:style w:type="character" w:styleId="-">
    <w:name w:val="Hyperlink"/>
    <w:rsid w:val="00542486"/>
    <w:rPr>
      <w:color w:val="0563C1"/>
      <w:u w:val="single"/>
    </w:rPr>
  </w:style>
  <w:style w:type="character" w:styleId="a4">
    <w:name w:val="Unresolved Mention"/>
    <w:basedOn w:val="a0"/>
    <w:uiPriority w:val="99"/>
    <w:semiHidden/>
    <w:unhideWhenUsed/>
    <w:rsid w:val="00542486"/>
    <w:rPr>
      <w:color w:val="605E5C"/>
      <w:shd w:val="clear" w:color="auto" w:fill="E1DFDD"/>
    </w:rPr>
  </w:style>
  <w:style w:type="paragraph" w:styleId="a5">
    <w:name w:val="header"/>
    <w:basedOn w:val="a"/>
    <w:link w:val="Char0"/>
    <w:uiPriority w:val="99"/>
    <w:unhideWhenUsed/>
    <w:rsid w:val="003A39E4"/>
    <w:pPr>
      <w:tabs>
        <w:tab w:val="center" w:pos="4153"/>
        <w:tab w:val="right" w:pos="8306"/>
      </w:tabs>
    </w:pPr>
  </w:style>
  <w:style w:type="character" w:customStyle="1" w:styleId="Char0">
    <w:name w:val="Κεφαλίδα Char"/>
    <w:basedOn w:val="a0"/>
    <w:link w:val="a5"/>
    <w:uiPriority w:val="99"/>
    <w:rsid w:val="003A39E4"/>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3A39E4"/>
    <w:pPr>
      <w:tabs>
        <w:tab w:val="center" w:pos="4153"/>
        <w:tab w:val="right" w:pos="8306"/>
      </w:tabs>
    </w:pPr>
  </w:style>
  <w:style w:type="character" w:customStyle="1" w:styleId="Char1">
    <w:name w:val="Υποσέλιδο Char"/>
    <w:basedOn w:val="a0"/>
    <w:link w:val="a6"/>
    <w:uiPriority w:val="99"/>
    <w:rsid w:val="003A39E4"/>
    <w:rPr>
      <w:rFonts w:ascii="Times New Roman" w:eastAsia="Times New Roman" w:hAnsi="Times New Roman" w:cs="Times New Roman"/>
      <w:sz w:val="24"/>
      <w:szCs w:val="24"/>
      <w:lang w:eastAsia="el-GR"/>
    </w:rPr>
  </w:style>
  <w:style w:type="paragraph" w:styleId="a7">
    <w:name w:val="List Paragraph"/>
    <w:basedOn w:val="a"/>
    <w:uiPriority w:val="34"/>
    <w:qFormat/>
    <w:rsid w:val="00853C38"/>
    <w:pPr>
      <w:ind w:left="720"/>
      <w:contextualSpacing/>
    </w:pPr>
  </w:style>
  <w:style w:type="character" w:styleId="a8">
    <w:name w:val="annotation reference"/>
    <w:uiPriority w:val="99"/>
    <w:semiHidden/>
    <w:unhideWhenUsed/>
    <w:rsid w:val="00433FED"/>
    <w:rPr>
      <w:sz w:val="16"/>
      <w:szCs w:val="16"/>
    </w:rPr>
  </w:style>
  <w:style w:type="paragraph" w:styleId="a9">
    <w:name w:val="annotation text"/>
    <w:basedOn w:val="a"/>
    <w:link w:val="Char2"/>
    <w:uiPriority w:val="99"/>
    <w:unhideWhenUsed/>
    <w:rsid w:val="00433FED"/>
    <w:pPr>
      <w:suppressAutoHyphens/>
    </w:pPr>
    <w:rPr>
      <w:sz w:val="20"/>
      <w:szCs w:val="20"/>
      <w:lang w:eastAsia="ar-SA"/>
    </w:rPr>
  </w:style>
  <w:style w:type="character" w:customStyle="1" w:styleId="Char2">
    <w:name w:val="Κείμενο σχολίου Char"/>
    <w:basedOn w:val="a0"/>
    <w:link w:val="a9"/>
    <w:uiPriority w:val="99"/>
    <w:rsid w:val="00433FED"/>
    <w:rPr>
      <w:rFonts w:ascii="Times New Roman" w:eastAsia="Times New Roman" w:hAnsi="Times New Roman" w:cs="Times New Roman"/>
      <w:sz w:val="20"/>
      <w:szCs w:val="20"/>
      <w:lang w:eastAsia="ar-SA"/>
    </w:rPr>
  </w:style>
  <w:style w:type="paragraph" w:styleId="aa">
    <w:name w:val="Body Text"/>
    <w:basedOn w:val="a"/>
    <w:link w:val="Char3"/>
    <w:rsid w:val="00E524AB"/>
    <w:pPr>
      <w:tabs>
        <w:tab w:val="left" w:pos="720"/>
      </w:tabs>
      <w:suppressAutoHyphens/>
      <w:spacing w:before="120" w:after="120"/>
      <w:jc w:val="both"/>
    </w:pPr>
    <w:rPr>
      <w:spacing w:val="-5"/>
      <w:sz w:val="22"/>
      <w:szCs w:val="22"/>
      <w:lang w:eastAsia="ar-SA"/>
    </w:rPr>
  </w:style>
  <w:style w:type="character" w:customStyle="1" w:styleId="Char3">
    <w:name w:val="Σώμα κειμένου Char"/>
    <w:basedOn w:val="a0"/>
    <w:link w:val="aa"/>
    <w:rsid w:val="00E524AB"/>
    <w:rPr>
      <w:rFonts w:ascii="Times New Roman" w:eastAsia="Times New Roman" w:hAnsi="Times New Roman" w:cs="Times New Roman"/>
      <w:spacing w:val="-5"/>
      <w:lang w:eastAsia="ar-SA"/>
    </w:rPr>
  </w:style>
  <w:style w:type="paragraph" w:customStyle="1" w:styleId="BodyTextNumbers">
    <w:name w:val="Body Text Numbers"/>
    <w:basedOn w:val="ab"/>
    <w:rsid w:val="00E524AB"/>
    <w:pPr>
      <w:tabs>
        <w:tab w:val="num" w:pos="567"/>
        <w:tab w:val="left" w:pos="720"/>
      </w:tabs>
      <w:suppressAutoHyphens/>
      <w:spacing w:before="120" w:line="264" w:lineRule="auto"/>
      <w:ind w:left="567" w:hanging="567"/>
      <w:jc w:val="both"/>
    </w:pPr>
    <w:rPr>
      <w:spacing w:val="-5"/>
      <w:sz w:val="22"/>
      <w:szCs w:val="22"/>
      <w:lang w:eastAsia="ar-SA"/>
    </w:rPr>
  </w:style>
  <w:style w:type="paragraph" w:styleId="ab">
    <w:name w:val="Body Text Indent"/>
    <w:basedOn w:val="a"/>
    <w:link w:val="Char4"/>
    <w:uiPriority w:val="99"/>
    <w:semiHidden/>
    <w:unhideWhenUsed/>
    <w:rsid w:val="00E524AB"/>
    <w:pPr>
      <w:spacing w:after="120"/>
      <w:ind w:left="283"/>
    </w:pPr>
  </w:style>
  <w:style w:type="character" w:customStyle="1" w:styleId="Char4">
    <w:name w:val="Σώμα κείμενου με εσοχή Char"/>
    <w:basedOn w:val="a0"/>
    <w:link w:val="ab"/>
    <w:uiPriority w:val="99"/>
    <w:semiHidden/>
    <w:rsid w:val="00E524AB"/>
    <w:rPr>
      <w:rFonts w:ascii="Times New Roman" w:eastAsia="Times New Roman" w:hAnsi="Times New Roman" w:cs="Times New Roman"/>
      <w:sz w:val="24"/>
      <w:szCs w:val="24"/>
      <w:lang w:eastAsia="el-GR"/>
    </w:rPr>
  </w:style>
  <w:style w:type="paragraph" w:styleId="ac">
    <w:name w:val="footnote text"/>
    <w:basedOn w:val="a"/>
    <w:link w:val="Char5"/>
    <w:uiPriority w:val="99"/>
    <w:semiHidden/>
    <w:unhideWhenUsed/>
    <w:rsid w:val="00AF4580"/>
    <w:rPr>
      <w:sz w:val="20"/>
      <w:szCs w:val="20"/>
    </w:rPr>
  </w:style>
  <w:style w:type="character" w:customStyle="1" w:styleId="Char5">
    <w:name w:val="Κείμενο υποσημείωσης Char"/>
    <w:basedOn w:val="a0"/>
    <w:link w:val="ac"/>
    <w:uiPriority w:val="99"/>
    <w:semiHidden/>
    <w:rsid w:val="00AF4580"/>
    <w:rPr>
      <w:rFonts w:ascii="Times New Roman" w:eastAsia="Times New Roman" w:hAnsi="Times New Roman" w:cs="Times New Roman"/>
      <w:sz w:val="20"/>
      <w:szCs w:val="20"/>
      <w:lang w:eastAsia="el-GR"/>
    </w:rPr>
  </w:style>
  <w:style w:type="character" w:styleId="ad">
    <w:name w:val="footnote reference"/>
    <w:basedOn w:val="a0"/>
    <w:uiPriority w:val="99"/>
    <w:semiHidden/>
    <w:unhideWhenUsed/>
    <w:rsid w:val="00AF4580"/>
    <w:rPr>
      <w:vertAlign w:val="superscript"/>
    </w:rPr>
  </w:style>
  <w:style w:type="paragraph" w:styleId="ae">
    <w:name w:val="annotation subject"/>
    <w:basedOn w:val="a9"/>
    <w:next w:val="a9"/>
    <w:link w:val="Char6"/>
    <w:uiPriority w:val="99"/>
    <w:semiHidden/>
    <w:unhideWhenUsed/>
    <w:rsid w:val="00532002"/>
    <w:pPr>
      <w:suppressAutoHyphens w:val="0"/>
    </w:pPr>
    <w:rPr>
      <w:b/>
      <w:bCs/>
      <w:lang w:eastAsia="el-GR"/>
    </w:rPr>
  </w:style>
  <w:style w:type="character" w:customStyle="1" w:styleId="Char6">
    <w:name w:val="Θέμα σχολίου Char"/>
    <w:basedOn w:val="Char2"/>
    <w:link w:val="ae"/>
    <w:uiPriority w:val="99"/>
    <w:semiHidden/>
    <w:rsid w:val="00532002"/>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885E-9AA7-4705-B614-7BC0C875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7516</Words>
  <Characters>40587</Characters>
  <Application>Microsoft Office Word</Application>
  <DocSecurity>0</DocSecurity>
  <Lines>338</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Evangelia Gazi</cp:lastModifiedBy>
  <cp:revision>7</cp:revision>
  <dcterms:created xsi:type="dcterms:W3CDTF">2022-09-30T12:15:00Z</dcterms:created>
  <dcterms:modified xsi:type="dcterms:W3CDTF">2022-09-30T18:45:00Z</dcterms:modified>
</cp:coreProperties>
</file>