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76B01" w14:textId="06467A3E" w:rsidR="00635971" w:rsidRPr="003758F2" w:rsidRDefault="002B6477">
      <w:pPr>
        <w:pStyle w:val="11"/>
        <w:rPr>
          <w:lang w:val="en-US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DDA536F" wp14:editId="5BBF7D40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186940" cy="1113790"/>
                <wp:effectExtent l="0" t="381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AFC42" w14:textId="6225FE9C" w:rsidR="00635971" w:rsidRDefault="001A6184">
                            <w:r>
                              <w:rPr>
                                <w:noProof/>
                              </w:rPr>
                              <w:object w:dxaOrig="21297" w:dyaOrig="10934" w14:anchorId="70C8B56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62.9pt;height:84.75pt;mso-width-percent:0;mso-height-percent:0;mso-width-percent:0;mso-height-percent:0" filled="t">
                                  <v:fill color2="black"/>
                                  <v:imagedata r:id="rId8" o:title=""/>
                                </v:shape>
                                <o:OLEObject Type="Embed" ProgID="Microsoft" ShapeID="_x0000_i1026" DrawAspect="Content" ObjectID="_1741600662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53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18pt;width:172.2pt;height:87.7pt;z-index: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" stroked="f">
                <v:textbox style="mso-fit-shape-to-text:t" inset="0,0,0,0">
                  <w:txbxContent>
                    <w:p w14:paraId="0F8AFC42" w14:textId="6225FE9C" w:rsidR="00635971" w:rsidRDefault="001A6184">
                      <w:r>
                        <w:rPr>
                          <w:noProof/>
                        </w:rPr>
                        <w:object w:dxaOrig="21297" w:dyaOrig="10934" w14:anchorId="70C8B56E">
                          <v:shape id="_x0000_i1026" type="#_x0000_t75" alt="" style="width:162.9pt;height:84.75pt;mso-width-percent:0;mso-height-percent:0;mso-width-percent:0;mso-height-percent:0" filled="t">
                            <v:fill color2="black"/>
                            <v:imagedata r:id="rId8" o:title=""/>
                          </v:shape>
                          <o:OLEObject Type="Embed" ProgID="Microsoft" ShapeID="_x0000_i1026" DrawAspect="Content" ObjectID="_174160066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35971" w:rsidRPr="003758F2">
        <w:rPr>
          <w:lang w:val="en-US"/>
        </w:rPr>
        <w:tab/>
        <w:t xml:space="preserve">  </w:t>
      </w:r>
    </w:p>
    <w:p w14:paraId="6DC0FCA6" w14:textId="05CCB33E" w:rsidR="005D1690" w:rsidRPr="00871FB0" w:rsidRDefault="00635971" w:rsidP="00914811">
      <w:pPr>
        <w:pStyle w:val="Title"/>
        <w:jc w:val="right"/>
        <w:rPr>
          <w:rFonts w:asciiTheme="majorHAnsi" w:hAnsiTheme="majorHAnsi"/>
          <w:szCs w:val="26"/>
          <w:lang w:val="en-US"/>
        </w:rPr>
      </w:pPr>
      <w:r w:rsidRPr="003758F2">
        <w:rPr>
          <w:lang w:val="en-US"/>
        </w:rPr>
        <w:t xml:space="preserve">     </w:t>
      </w:r>
      <w:r w:rsidR="005D1690" w:rsidRPr="003758F2">
        <w:rPr>
          <w:sz w:val="28"/>
          <w:szCs w:val="28"/>
          <w:lang w:val="en-US"/>
        </w:rPr>
        <w:t xml:space="preserve"> </w:t>
      </w:r>
      <w:r w:rsidR="007453F5" w:rsidRPr="00CB19B5">
        <w:rPr>
          <w:rFonts w:asciiTheme="majorHAnsi" w:hAnsiTheme="majorHAnsi"/>
          <w:color w:val="808080" w:themeColor="background1" w:themeShade="80"/>
          <w:szCs w:val="26"/>
          <w:lang w:val="en-US"/>
        </w:rPr>
        <w:t xml:space="preserve">Athens, </w:t>
      </w:r>
      <w:r w:rsidR="00673433" w:rsidRPr="00CB19B5">
        <w:rPr>
          <w:rFonts w:asciiTheme="majorHAnsi" w:hAnsiTheme="majorHAnsi"/>
          <w:color w:val="808080" w:themeColor="background1" w:themeShade="80"/>
          <w:szCs w:val="26"/>
          <w:lang w:val="en-US"/>
        </w:rPr>
        <w:t>1</w:t>
      </w:r>
      <w:r w:rsidR="00673433" w:rsidRPr="00CB19B5">
        <w:rPr>
          <w:rFonts w:asciiTheme="majorHAnsi" w:hAnsiTheme="majorHAnsi"/>
          <w:color w:val="808080" w:themeColor="background1" w:themeShade="80"/>
          <w:szCs w:val="26"/>
          <w:vertAlign w:val="superscript"/>
          <w:lang w:val="en-US"/>
        </w:rPr>
        <w:t>st</w:t>
      </w:r>
      <w:r w:rsidR="00F92106" w:rsidRPr="00CB19B5">
        <w:rPr>
          <w:rFonts w:asciiTheme="majorHAnsi" w:hAnsiTheme="majorHAnsi"/>
          <w:color w:val="808080" w:themeColor="background1" w:themeShade="80"/>
          <w:szCs w:val="26"/>
          <w:lang w:val="en-US"/>
        </w:rPr>
        <w:t xml:space="preserve"> </w:t>
      </w:r>
      <w:r w:rsidR="009D0EDB" w:rsidRPr="00CB19B5">
        <w:rPr>
          <w:rFonts w:asciiTheme="majorHAnsi" w:hAnsiTheme="majorHAnsi"/>
          <w:color w:val="808080" w:themeColor="background1" w:themeShade="80"/>
          <w:szCs w:val="26"/>
          <w:lang w:val="en-US"/>
        </w:rPr>
        <w:t>March</w:t>
      </w:r>
      <w:r w:rsidR="007453F5" w:rsidRPr="00CB19B5">
        <w:rPr>
          <w:rFonts w:asciiTheme="majorHAnsi" w:hAnsiTheme="majorHAnsi"/>
          <w:color w:val="808080" w:themeColor="background1" w:themeShade="80"/>
          <w:szCs w:val="26"/>
          <w:lang w:val="en-US"/>
        </w:rPr>
        <w:t xml:space="preserve"> 20</w:t>
      </w:r>
      <w:r w:rsidR="00F92106" w:rsidRPr="00CB19B5">
        <w:rPr>
          <w:rFonts w:asciiTheme="majorHAnsi" w:hAnsiTheme="majorHAnsi"/>
          <w:color w:val="808080" w:themeColor="background1" w:themeShade="80"/>
          <w:szCs w:val="26"/>
          <w:lang w:val="en-US"/>
        </w:rPr>
        <w:t>2</w:t>
      </w:r>
      <w:r w:rsidR="00465136" w:rsidRPr="00CB19B5">
        <w:rPr>
          <w:rFonts w:asciiTheme="majorHAnsi" w:hAnsiTheme="majorHAnsi"/>
          <w:color w:val="808080" w:themeColor="background1" w:themeShade="80"/>
          <w:szCs w:val="26"/>
          <w:lang w:val="en-US"/>
        </w:rPr>
        <w:t>3</w:t>
      </w:r>
    </w:p>
    <w:p w14:paraId="589FBBC7" w14:textId="77777777" w:rsidR="00914811" w:rsidRDefault="00914811" w:rsidP="00141308">
      <w:pPr>
        <w:pStyle w:val="Heading1"/>
        <w:rPr>
          <w:lang w:val="en-US"/>
        </w:rPr>
      </w:pPr>
    </w:p>
    <w:p w14:paraId="1FA94CBD" w14:textId="32B07834" w:rsidR="00141308" w:rsidRDefault="00141308" w:rsidP="00141308">
      <w:pPr>
        <w:pStyle w:val="Heading1"/>
        <w:rPr>
          <w:lang w:val="en-US"/>
        </w:rPr>
      </w:pPr>
      <w:r>
        <w:rPr>
          <w:lang w:val="en-US"/>
        </w:rPr>
        <w:t>Congestion revenues management</w:t>
      </w:r>
      <w:r w:rsidR="003758F2">
        <w:rPr>
          <w:lang w:val="en-US"/>
        </w:rPr>
        <w:t xml:space="preserve"> report</w:t>
      </w:r>
    </w:p>
    <w:p w14:paraId="3CF1BFCF" w14:textId="77777777" w:rsidR="00141308" w:rsidRDefault="00141308" w:rsidP="00141308">
      <w:pPr>
        <w:rPr>
          <w:lang w:val="en-US"/>
        </w:rPr>
      </w:pPr>
    </w:p>
    <w:p w14:paraId="2158372D" w14:textId="588FA4E6" w:rsidR="00141308" w:rsidRPr="009C5EE7" w:rsidRDefault="009C5EE7" w:rsidP="00141308">
      <w:pPr>
        <w:pStyle w:val="Heading2"/>
        <w:rPr>
          <w:lang w:val="en-US"/>
        </w:rPr>
      </w:pPr>
      <w:r>
        <w:rPr>
          <w:lang w:val="en-US"/>
        </w:rPr>
        <w:t>Background</w:t>
      </w:r>
    </w:p>
    <w:p w14:paraId="50497E0E" w14:textId="221EB0FC" w:rsidR="00141308" w:rsidRDefault="00141308" w:rsidP="00141308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9A6048">
        <w:rPr>
          <w:lang w:val="en-US"/>
        </w:rPr>
        <w:t xml:space="preserve">According to Regulation (EC) No </w:t>
      </w:r>
      <w:r w:rsidR="002C33CA" w:rsidRPr="002C33CA">
        <w:rPr>
          <w:lang w:val="en-US"/>
        </w:rPr>
        <w:t>943</w:t>
      </w:r>
      <w:r w:rsidRPr="009A6048">
        <w:rPr>
          <w:lang w:val="en-US"/>
        </w:rPr>
        <w:t>/20</w:t>
      </w:r>
      <w:r w:rsidR="002C33CA" w:rsidRPr="002C33CA">
        <w:rPr>
          <w:lang w:val="en-US"/>
        </w:rPr>
        <w:t>1</w:t>
      </w:r>
      <w:r w:rsidRPr="009A6048">
        <w:rPr>
          <w:lang w:val="en-US"/>
        </w:rPr>
        <w:t xml:space="preserve">9 of the European Parliament and of the Council of </w:t>
      </w:r>
      <w:r w:rsidR="002C33CA" w:rsidRPr="002C33CA">
        <w:rPr>
          <w:lang w:val="en-US"/>
        </w:rPr>
        <w:t>5</w:t>
      </w:r>
      <w:r w:rsidR="009F4B92" w:rsidRPr="00F47251">
        <w:rPr>
          <w:vertAlign w:val="superscript"/>
          <w:lang w:val="en-US"/>
        </w:rPr>
        <w:t>th</w:t>
      </w:r>
      <w:r w:rsidRPr="009A6048">
        <w:rPr>
          <w:lang w:val="en-US"/>
        </w:rPr>
        <w:t xml:space="preserve"> Ju</w:t>
      </w:r>
      <w:r w:rsidR="002C33CA">
        <w:rPr>
          <w:lang w:val="en-US"/>
        </w:rPr>
        <w:t>ne</w:t>
      </w:r>
      <w:r w:rsidRPr="009A6048">
        <w:rPr>
          <w:lang w:val="en-US"/>
        </w:rPr>
        <w:t xml:space="preserve"> 20</w:t>
      </w:r>
      <w:r w:rsidR="002C33CA">
        <w:rPr>
          <w:lang w:val="en-US"/>
        </w:rPr>
        <w:t>1</w:t>
      </w:r>
      <w:r w:rsidRPr="009A6048">
        <w:rPr>
          <w:lang w:val="en-US"/>
        </w:rPr>
        <w:t>9 on</w:t>
      </w:r>
      <w:r w:rsidR="002C33CA">
        <w:rPr>
          <w:lang w:val="en-US"/>
        </w:rPr>
        <w:t xml:space="preserve"> </w:t>
      </w:r>
      <w:r w:rsidR="002C33CA" w:rsidRPr="002C33CA">
        <w:rPr>
          <w:lang w:val="en-US"/>
        </w:rPr>
        <w:t>the internal market for electricity</w:t>
      </w:r>
      <w:r w:rsidRPr="009A6048">
        <w:rPr>
          <w:lang w:val="en-US"/>
        </w:rPr>
        <w:t>,</w:t>
      </w:r>
      <w:r w:rsidR="00C96EFB">
        <w:rPr>
          <w:lang w:val="en-US"/>
        </w:rPr>
        <w:t xml:space="preserve"> and in particular article 19 of the Regulation, </w:t>
      </w:r>
      <w:r w:rsidRPr="009A6048">
        <w:rPr>
          <w:lang w:val="en-US"/>
        </w:rPr>
        <w:t xml:space="preserve">the Greek Regulatory Authority for Energy (RAE) shall </w:t>
      </w:r>
      <w:r w:rsidRPr="009A41D8">
        <w:rPr>
          <w:lang w:val="en-US"/>
        </w:rPr>
        <w:t>by 1</w:t>
      </w:r>
      <w:r w:rsidR="009F4B92" w:rsidRPr="009A41D8">
        <w:rPr>
          <w:vertAlign w:val="superscript"/>
          <w:lang w:val="en-US"/>
        </w:rPr>
        <w:t>st</w:t>
      </w:r>
      <w:r w:rsidRPr="009A41D8">
        <w:rPr>
          <w:lang w:val="en-US"/>
        </w:rPr>
        <w:t xml:space="preserve"> </w:t>
      </w:r>
      <w:r w:rsidR="00C96EFB" w:rsidRPr="009A41D8">
        <w:rPr>
          <w:lang w:val="en-US"/>
        </w:rPr>
        <w:t>March</w:t>
      </w:r>
      <w:r w:rsidRPr="009A6048">
        <w:rPr>
          <w:lang w:val="en-US"/>
        </w:rPr>
        <w:t xml:space="preserve"> each year publish a report presenting the amount and the use of </w:t>
      </w:r>
      <w:r>
        <w:rPr>
          <w:lang w:val="en-US"/>
        </w:rPr>
        <w:t xml:space="preserve">the </w:t>
      </w:r>
      <w:r w:rsidRPr="009A6048">
        <w:rPr>
          <w:lang w:val="en-US"/>
        </w:rPr>
        <w:t>congestion revenues</w:t>
      </w:r>
      <w:r w:rsidR="001D095F">
        <w:rPr>
          <w:lang w:val="en-US"/>
        </w:rPr>
        <w:t xml:space="preserve"> </w:t>
      </w:r>
      <w:r w:rsidR="001D095F" w:rsidRPr="001D095F">
        <w:rPr>
          <w:lang w:val="en-US"/>
        </w:rPr>
        <w:t>collected for the 12-month period ending on 31 December of the previous year</w:t>
      </w:r>
      <w:r w:rsidR="001D095F">
        <w:rPr>
          <w:lang w:val="en-US"/>
        </w:rPr>
        <w:t>.</w:t>
      </w:r>
    </w:p>
    <w:p w14:paraId="6BE84A81" w14:textId="77777777" w:rsidR="00296221" w:rsidRDefault="00296221" w:rsidP="00141308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296221">
        <w:rPr>
          <w:lang w:val="en-US"/>
        </w:rPr>
        <w:t xml:space="preserve">The following objectives shall have priority with the respect to the allocation of any revenues resulting from the allocation of cross-zonal capacity: </w:t>
      </w:r>
    </w:p>
    <w:p w14:paraId="7A9E0680" w14:textId="77777777" w:rsidR="00296221" w:rsidRDefault="00296221" w:rsidP="00296221">
      <w:pPr>
        <w:pStyle w:val="ListParagraph"/>
        <w:numPr>
          <w:ilvl w:val="0"/>
          <w:numId w:val="17"/>
        </w:numPr>
        <w:jc w:val="both"/>
        <w:rPr>
          <w:lang w:val="en-US"/>
        </w:rPr>
      </w:pPr>
      <w:r w:rsidRPr="00296221">
        <w:rPr>
          <w:lang w:val="en-US"/>
        </w:rPr>
        <w:t xml:space="preserve">guaranteeing the actual availability of the allocated capacity including firmness compensation; or </w:t>
      </w:r>
    </w:p>
    <w:p w14:paraId="3BD53ABB" w14:textId="2A776FF9" w:rsidR="00296221" w:rsidRDefault="00296221" w:rsidP="00296221">
      <w:pPr>
        <w:pStyle w:val="ListParagraph"/>
        <w:numPr>
          <w:ilvl w:val="0"/>
          <w:numId w:val="17"/>
        </w:numPr>
        <w:jc w:val="both"/>
        <w:rPr>
          <w:lang w:val="en-US"/>
        </w:rPr>
      </w:pPr>
      <w:r w:rsidRPr="00296221">
        <w:rPr>
          <w:lang w:val="en-US"/>
        </w:rPr>
        <w:t xml:space="preserve">maintaining or increasing cross-zonal capacities through </w:t>
      </w:r>
      <w:proofErr w:type="spellStart"/>
      <w:r w:rsidRPr="00296221">
        <w:rPr>
          <w:lang w:val="en-US"/>
        </w:rPr>
        <w:t>optimisation</w:t>
      </w:r>
      <w:proofErr w:type="spellEnd"/>
      <w:r w:rsidRPr="00296221">
        <w:rPr>
          <w:lang w:val="en-US"/>
        </w:rPr>
        <w:t xml:space="preserve"> of the usage of existing interconnectors by means of coordinated remedial actions, where applicable, or covering costs resulting from network investments that are relevant to reduce interconnector congestion.</w:t>
      </w:r>
    </w:p>
    <w:p w14:paraId="430F7DAC" w14:textId="77777777" w:rsidR="00D56778" w:rsidRDefault="00D56778" w:rsidP="00296221">
      <w:pPr>
        <w:pStyle w:val="ListParagraph"/>
        <w:numPr>
          <w:ilvl w:val="0"/>
          <w:numId w:val="17"/>
        </w:numPr>
        <w:jc w:val="both"/>
        <w:rPr>
          <w:lang w:val="en-US"/>
        </w:rPr>
      </w:pPr>
    </w:p>
    <w:p w14:paraId="2BA07C16" w14:textId="77777777" w:rsidR="00DB3D07" w:rsidRDefault="00DB3D07" w:rsidP="00DB3D07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DB3D07">
        <w:rPr>
          <w:lang w:val="en-US"/>
        </w:rPr>
        <w:t xml:space="preserve">Where the priority objectives set out in paragraph 2 have been adequately fulfilled, the revenues may be used as income to be taken into account by </w:t>
      </w:r>
      <w:r>
        <w:rPr>
          <w:lang w:val="en-US"/>
        </w:rPr>
        <w:t xml:space="preserve">RAE </w:t>
      </w:r>
      <w:r w:rsidRPr="00DB3D07">
        <w:rPr>
          <w:lang w:val="en-US"/>
        </w:rPr>
        <w:t xml:space="preserve">when approving the methodology for calculating network tariffs or fixing network tariffs, or both. The residual revenues shall be placed on a separate internal account line until such a time as it can be spent for the purposes set out in paragraph 2. </w:t>
      </w:r>
    </w:p>
    <w:p w14:paraId="13C284D3" w14:textId="77777777" w:rsidR="00DB3D07" w:rsidRDefault="00DB3D07" w:rsidP="00DB3D07">
      <w:pPr>
        <w:pStyle w:val="ListParagraph"/>
        <w:jc w:val="both"/>
        <w:rPr>
          <w:lang w:val="en-US"/>
        </w:rPr>
      </w:pPr>
    </w:p>
    <w:p w14:paraId="6773DEC1" w14:textId="291ABAB9" w:rsidR="00465136" w:rsidRPr="00465136" w:rsidRDefault="00DB3D07" w:rsidP="00465136">
      <w:pPr>
        <w:pStyle w:val="ListParagraph"/>
        <w:jc w:val="both"/>
        <w:rPr>
          <w:lang w:val="en-US"/>
        </w:rPr>
      </w:pPr>
      <w:r w:rsidRPr="00DB3D07">
        <w:rPr>
          <w:lang w:val="en-US"/>
        </w:rPr>
        <w:t xml:space="preserve">The use of revenues in accordance with point (a) or (b) of paragraph 2 shall be subject to a methodology proposed by the transmission system operators after consulting regulatory authorities and relevant stakeholders and after approval by ACER. </w:t>
      </w:r>
    </w:p>
    <w:p w14:paraId="4A3A904F" w14:textId="04B330D6" w:rsidR="00141308" w:rsidRPr="00FD1BCB" w:rsidRDefault="00141308" w:rsidP="00036755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F807F3">
        <w:rPr>
          <w:lang w:val="en-US"/>
        </w:rPr>
        <w:t xml:space="preserve">The Greek Transmission System </w:t>
      </w:r>
      <w:r>
        <w:rPr>
          <w:lang w:val="en-US"/>
        </w:rPr>
        <w:t xml:space="preserve">Operator, </w:t>
      </w:r>
      <w:r w:rsidRPr="00F807F3">
        <w:rPr>
          <w:lang w:val="en-US"/>
        </w:rPr>
        <w:t>ADMIE</w:t>
      </w:r>
      <w:r>
        <w:rPr>
          <w:lang w:val="en-US"/>
        </w:rPr>
        <w:t>,</w:t>
      </w:r>
      <w:r w:rsidRPr="00F807F3">
        <w:rPr>
          <w:lang w:val="en-US"/>
        </w:rPr>
        <w:t xml:space="preserve"> is responsible for t</w:t>
      </w:r>
      <w:r w:rsidR="007C4401">
        <w:rPr>
          <w:lang w:val="en-US"/>
        </w:rPr>
        <w:t xml:space="preserve">he management of the congestion </w:t>
      </w:r>
      <w:r>
        <w:rPr>
          <w:lang w:val="en-US"/>
        </w:rPr>
        <w:t xml:space="preserve">revenues, </w:t>
      </w:r>
      <w:r w:rsidRPr="00F807F3">
        <w:rPr>
          <w:lang w:val="en-US"/>
        </w:rPr>
        <w:t xml:space="preserve">resulting from the capacity allocation </w:t>
      </w:r>
      <w:r>
        <w:rPr>
          <w:lang w:val="en-US"/>
        </w:rPr>
        <w:t>for</w:t>
      </w:r>
      <w:r w:rsidRPr="00F807F3">
        <w:rPr>
          <w:lang w:val="en-US"/>
        </w:rPr>
        <w:t xml:space="preserve"> the interconnections between Greece and Italy, Albania, FYROM, Bulgaria and Turkey </w:t>
      </w:r>
      <w:r>
        <w:rPr>
          <w:lang w:val="en-US"/>
        </w:rPr>
        <w:t>achieved</w:t>
      </w:r>
      <w:r w:rsidRPr="00F807F3">
        <w:rPr>
          <w:lang w:val="en-US"/>
        </w:rPr>
        <w:t xml:space="preserve"> through yearly, monthly and daily auctions.</w:t>
      </w:r>
      <w:r w:rsidR="00C87C54">
        <w:rPr>
          <w:lang w:val="en-US"/>
        </w:rPr>
        <w:t xml:space="preserve"> More specifically, t</w:t>
      </w:r>
      <w:r w:rsidR="00CA760A">
        <w:rPr>
          <w:lang w:val="en-US"/>
        </w:rPr>
        <w:t>he “</w:t>
      </w:r>
      <w:r w:rsidR="009872A3">
        <w:rPr>
          <w:lang w:val="en-US"/>
        </w:rPr>
        <w:t>Joint</w:t>
      </w:r>
      <w:r w:rsidR="00CA760A">
        <w:rPr>
          <w:lang w:val="en-US"/>
        </w:rPr>
        <w:t xml:space="preserve"> Allocation </w:t>
      </w:r>
      <w:r w:rsidR="009872A3">
        <w:rPr>
          <w:lang w:val="en-US"/>
        </w:rPr>
        <w:t>Office</w:t>
      </w:r>
      <w:r w:rsidR="00CA760A">
        <w:rPr>
          <w:lang w:val="en-US"/>
        </w:rPr>
        <w:t>” (</w:t>
      </w:r>
      <w:r w:rsidR="009872A3">
        <w:rPr>
          <w:lang w:val="en-US"/>
        </w:rPr>
        <w:t>JAO</w:t>
      </w:r>
      <w:r w:rsidR="009872A3">
        <w:rPr>
          <w:rStyle w:val="FootnoteReference"/>
          <w:lang w:val="en-US"/>
        </w:rPr>
        <w:footnoteReference w:id="1"/>
      </w:r>
      <w:r w:rsidR="00CA760A">
        <w:rPr>
          <w:lang w:val="en-US"/>
        </w:rPr>
        <w:t xml:space="preserve">) facilitates the explicit auctions (in yearly, monthly and daily resolution) for the interconnector on the border with Italy. </w:t>
      </w:r>
      <w:r w:rsidR="00C87C54">
        <w:rPr>
          <w:lang w:val="en-US"/>
        </w:rPr>
        <w:t>ADMIE, for the border with Bulgaria, applies the</w:t>
      </w:r>
      <w:r w:rsidR="00CA760A">
        <w:rPr>
          <w:lang w:val="en-US"/>
        </w:rPr>
        <w:t xml:space="preserve"> joint auctions </w:t>
      </w:r>
      <w:r w:rsidR="00C87C54">
        <w:rPr>
          <w:lang w:val="en-US"/>
        </w:rPr>
        <w:t xml:space="preserve">scheme </w:t>
      </w:r>
      <w:r w:rsidR="00CA760A">
        <w:rPr>
          <w:lang w:val="en-US"/>
        </w:rPr>
        <w:t xml:space="preserve">together with the Bulgarian TSO, ESO EAD, </w:t>
      </w:r>
      <w:r w:rsidR="00D32DBA">
        <w:rPr>
          <w:lang w:val="en-US"/>
        </w:rPr>
        <w:t xml:space="preserve">with ADMIE performing the yearly and </w:t>
      </w:r>
      <w:r w:rsidR="00680867">
        <w:rPr>
          <w:lang w:val="en-US"/>
        </w:rPr>
        <w:t>daily</w:t>
      </w:r>
      <w:r w:rsidR="00D32DBA">
        <w:rPr>
          <w:lang w:val="en-US"/>
        </w:rPr>
        <w:t xml:space="preserve"> auctions.</w:t>
      </w:r>
      <w:r w:rsidR="00C87C54">
        <w:rPr>
          <w:lang w:val="en-US"/>
        </w:rPr>
        <w:t xml:space="preserve"> </w:t>
      </w:r>
      <w:r w:rsidR="00CE1C78">
        <w:rPr>
          <w:lang w:val="en-US"/>
        </w:rPr>
        <w:t xml:space="preserve">Regarding </w:t>
      </w:r>
      <w:r w:rsidR="00C87C54">
        <w:rPr>
          <w:lang w:val="en-US"/>
        </w:rPr>
        <w:t>the borders with Albania</w:t>
      </w:r>
      <w:r w:rsidR="005E77EA">
        <w:rPr>
          <w:lang w:val="en-US"/>
        </w:rPr>
        <w:t xml:space="preserve"> </w:t>
      </w:r>
      <w:r w:rsidR="00C87C54">
        <w:rPr>
          <w:lang w:val="en-US"/>
        </w:rPr>
        <w:t xml:space="preserve">and Turkey, </w:t>
      </w:r>
      <w:r w:rsidR="005E77EA">
        <w:rPr>
          <w:lang w:val="en-US"/>
        </w:rPr>
        <w:t>the auctions for the allocation of capacity</w:t>
      </w:r>
      <w:r w:rsidR="00853E3D">
        <w:rPr>
          <w:lang w:val="en-US"/>
        </w:rPr>
        <w:t xml:space="preserve"> are </w:t>
      </w:r>
      <w:r w:rsidR="00E86DB5">
        <w:rPr>
          <w:lang w:val="en-US"/>
        </w:rPr>
        <w:t xml:space="preserve">performed (in yearly, monthly and daily resolution) from </w:t>
      </w:r>
      <w:r w:rsidR="00E86DB5" w:rsidRPr="00FD1BCB">
        <w:rPr>
          <w:lang w:val="en-US"/>
        </w:rPr>
        <w:t>“</w:t>
      </w:r>
      <w:r w:rsidR="00E86DB5">
        <w:rPr>
          <w:lang w:val="en-US"/>
        </w:rPr>
        <w:t>South</w:t>
      </w:r>
      <w:r w:rsidR="00E86DB5" w:rsidRPr="00FD1BCB">
        <w:rPr>
          <w:lang w:val="en-US"/>
        </w:rPr>
        <w:t xml:space="preserve"> </w:t>
      </w:r>
      <w:r w:rsidR="00E86DB5">
        <w:rPr>
          <w:lang w:val="en-US"/>
        </w:rPr>
        <w:t>East</w:t>
      </w:r>
      <w:r w:rsidR="00E86DB5" w:rsidRPr="00FD1BCB">
        <w:rPr>
          <w:lang w:val="en-US"/>
        </w:rPr>
        <w:t xml:space="preserve"> </w:t>
      </w:r>
      <w:r w:rsidR="00E86DB5">
        <w:rPr>
          <w:lang w:val="en-US"/>
        </w:rPr>
        <w:t>Europe</w:t>
      </w:r>
      <w:r w:rsidR="00E86DB5" w:rsidRPr="00FD1BCB">
        <w:rPr>
          <w:lang w:val="en-US"/>
        </w:rPr>
        <w:t xml:space="preserve"> </w:t>
      </w:r>
      <w:r w:rsidR="00E86DB5">
        <w:rPr>
          <w:lang w:val="en-US"/>
        </w:rPr>
        <w:lastRenderedPageBreak/>
        <w:t>Coordinated</w:t>
      </w:r>
      <w:r w:rsidR="00E86DB5" w:rsidRPr="00FD1BCB">
        <w:rPr>
          <w:lang w:val="en-US"/>
        </w:rPr>
        <w:t xml:space="preserve"> </w:t>
      </w:r>
      <w:r w:rsidR="00E86DB5">
        <w:rPr>
          <w:lang w:val="en-US"/>
        </w:rPr>
        <w:t>Auction</w:t>
      </w:r>
      <w:r w:rsidR="00E86DB5" w:rsidRPr="00FD1BCB">
        <w:rPr>
          <w:lang w:val="en-US"/>
        </w:rPr>
        <w:t xml:space="preserve"> </w:t>
      </w:r>
      <w:r w:rsidR="00E86DB5">
        <w:rPr>
          <w:lang w:val="en-US"/>
        </w:rPr>
        <w:t>Office</w:t>
      </w:r>
      <w:r w:rsidR="00E86DB5" w:rsidRPr="00FD1BCB">
        <w:rPr>
          <w:lang w:val="en-US"/>
        </w:rPr>
        <w:t>” (</w:t>
      </w:r>
      <w:r w:rsidR="00E86DB5">
        <w:rPr>
          <w:lang w:val="en-US"/>
        </w:rPr>
        <w:t>SEE</w:t>
      </w:r>
      <w:r w:rsidR="00E86DB5" w:rsidRPr="00FD1BCB">
        <w:rPr>
          <w:lang w:val="en-US"/>
        </w:rPr>
        <w:t xml:space="preserve"> </w:t>
      </w:r>
      <w:r w:rsidR="00E86DB5">
        <w:rPr>
          <w:lang w:val="en-US"/>
        </w:rPr>
        <w:t>CAO</w:t>
      </w:r>
      <w:r w:rsidR="00E86DB5">
        <w:rPr>
          <w:rStyle w:val="FootnoteReference"/>
          <w:lang w:val="en-US"/>
        </w:rPr>
        <w:footnoteReference w:id="2"/>
      </w:r>
      <w:r w:rsidR="009E539E">
        <w:rPr>
          <w:lang w:val="en-US"/>
        </w:rPr>
        <w:t>)</w:t>
      </w:r>
      <w:r w:rsidR="005E77EA">
        <w:rPr>
          <w:lang w:val="en-US"/>
        </w:rPr>
        <w:t>.</w:t>
      </w:r>
      <w:r w:rsidR="009E539E">
        <w:rPr>
          <w:lang w:val="en-US"/>
        </w:rPr>
        <w:t xml:space="preserve"> </w:t>
      </w:r>
      <w:r w:rsidR="003C6FF1">
        <w:rPr>
          <w:lang w:val="en-US"/>
        </w:rPr>
        <w:t>Finally, f</w:t>
      </w:r>
      <w:r w:rsidR="009E539E">
        <w:rPr>
          <w:lang w:val="en-US"/>
        </w:rPr>
        <w:t xml:space="preserve">or the last border with FYROM, </w:t>
      </w:r>
      <w:r w:rsidR="00C87C54" w:rsidRPr="00FD1BCB">
        <w:rPr>
          <w:lang w:val="en-US"/>
        </w:rPr>
        <w:t xml:space="preserve">ADMIE is responsible for allocating only 50% of the interconnection capacity, with the neighboring TSO, namely MEPSO, being responsible for the remaining 50%. In that case, ADMIE facilitates yearly, </w:t>
      </w:r>
      <w:r w:rsidR="00CE4630" w:rsidRPr="00FD1BCB">
        <w:rPr>
          <w:lang w:val="en-US"/>
        </w:rPr>
        <w:t>monthly,</w:t>
      </w:r>
      <w:r w:rsidR="00C87C54" w:rsidRPr="00FD1BCB">
        <w:rPr>
          <w:lang w:val="en-US"/>
        </w:rPr>
        <w:t xml:space="preserve"> and daily auctions for the allocation of the capacity.</w:t>
      </w:r>
    </w:p>
    <w:p w14:paraId="43BEF42D" w14:textId="2E98C8A0" w:rsidR="00141308" w:rsidRDefault="00141308" w:rsidP="00141308">
      <w:pPr>
        <w:pStyle w:val="Heading2"/>
        <w:rPr>
          <w:lang w:val="en-US"/>
        </w:rPr>
      </w:pPr>
      <w:r>
        <w:rPr>
          <w:lang w:val="en-US"/>
        </w:rPr>
        <w:t xml:space="preserve">Congestion revenues </w:t>
      </w:r>
    </w:p>
    <w:p w14:paraId="36555B72" w14:textId="77777777" w:rsidR="00D56778" w:rsidRPr="00D56778" w:rsidRDefault="00D56778" w:rsidP="00D56778">
      <w:pPr>
        <w:rPr>
          <w:lang w:val="en-US" w:eastAsia="en-US"/>
        </w:rPr>
      </w:pPr>
    </w:p>
    <w:p w14:paraId="3EFEEF73" w14:textId="52436204" w:rsidR="00F21DAB" w:rsidRPr="00F21DAB" w:rsidRDefault="00F21DAB" w:rsidP="00F21DAB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Each </w:t>
      </w:r>
      <w:r w:rsidRPr="00F21DAB">
        <w:rPr>
          <w:lang w:val="en-US"/>
        </w:rPr>
        <w:t>year ADMIE provides RAE with a detailed analysis of the amount of revenues earned through the auctions. The table below presents the revenues per border of the year 2022.</w:t>
      </w:r>
    </w:p>
    <w:p w14:paraId="6F136176" w14:textId="0EF7B468" w:rsidR="00F549D7" w:rsidRPr="00F21DAB" w:rsidRDefault="00F549D7" w:rsidP="00456FB2">
      <w:pPr>
        <w:ind w:left="720"/>
        <w:rPr>
          <w:lang w:val="en-US"/>
        </w:rPr>
      </w:pPr>
    </w:p>
    <w:p w14:paraId="7B325825" w14:textId="1D3CA9C7" w:rsidR="006B108A" w:rsidRPr="00873298" w:rsidRDefault="00D56778" w:rsidP="00D56778">
      <w:pPr>
        <w:ind w:left="720"/>
        <w:jc w:val="both"/>
        <w:rPr>
          <w:lang w:val="en-US"/>
        </w:rPr>
      </w:pPr>
      <w:r w:rsidRPr="00D56778">
        <w:rPr>
          <w:noProof/>
          <w:lang w:val="en-US"/>
        </w:rPr>
        <w:drawing>
          <wp:inline distT="0" distB="0" distL="0" distR="0" wp14:anchorId="36007D55" wp14:editId="742EAF7D">
            <wp:extent cx="5471160" cy="2186358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79" cy="219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2D1B" w14:textId="77777777" w:rsidR="00D56778" w:rsidRDefault="00D56778" w:rsidP="000D0BA3">
      <w:pPr>
        <w:pStyle w:val="ListParagraph"/>
        <w:jc w:val="both"/>
        <w:rPr>
          <w:lang w:val="en-US"/>
        </w:rPr>
      </w:pPr>
    </w:p>
    <w:p w14:paraId="77A90E1B" w14:textId="14735589" w:rsidR="00252530" w:rsidRDefault="00252530" w:rsidP="000D0BA3">
      <w:pPr>
        <w:pStyle w:val="ListParagraph"/>
        <w:jc w:val="both"/>
        <w:rPr>
          <w:lang w:val="en-US"/>
        </w:rPr>
      </w:pPr>
      <w:r w:rsidRPr="00C439B5">
        <w:rPr>
          <w:lang w:val="en-US"/>
        </w:rPr>
        <w:t xml:space="preserve">The congestion </w:t>
      </w:r>
      <w:r w:rsidR="008F474A" w:rsidRPr="00C439B5">
        <w:rPr>
          <w:lang w:val="en-US"/>
        </w:rPr>
        <w:t>revenues received from J</w:t>
      </w:r>
      <w:r w:rsidR="00040D24">
        <w:rPr>
          <w:lang w:val="en-US"/>
        </w:rPr>
        <w:t>anuary</w:t>
      </w:r>
      <w:r w:rsidR="008F474A" w:rsidRPr="00C439B5">
        <w:rPr>
          <w:lang w:val="en-US"/>
        </w:rPr>
        <w:t xml:space="preserve"> </w:t>
      </w:r>
      <w:r w:rsidR="00F549D7" w:rsidRPr="00C439B5">
        <w:rPr>
          <w:lang w:val="en-US"/>
        </w:rPr>
        <w:t>2</w:t>
      </w:r>
      <w:r w:rsidR="004D2662" w:rsidRPr="00C439B5">
        <w:rPr>
          <w:lang w:val="en-US"/>
        </w:rPr>
        <w:t>0</w:t>
      </w:r>
      <w:r w:rsidR="005A3F7A">
        <w:rPr>
          <w:lang w:val="en-US"/>
        </w:rPr>
        <w:t>2</w:t>
      </w:r>
      <w:r w:rsidR="00873298">
        <w:rPr>
          <w:lang w:val="en-US"/>
        </w:rPr>
        <w:t>2</w:t>
      </w:r>
      <w:r w:rsidR="00F549D7" w:rsidRPr="00C439B5">
        <w:rPr>
          <w:lang w:val="en-US"/>
        </w:rPr>
        <w:t xml:space="preserve"> </w:t>
      </w:r>
      <w:r w:rsidR="008F474A" w:rsidRPr="00C439B5">
        <w:rPr>
          <w:lang w:val="en-US"/>
        </w:rPr>
        <w:t xml:space="preserve">until </w:t>
      </w:r>
      <w:r w:rsidR="00040D24">
        <w:rPr>
          <w:lang w:val="en-US"/>
        </w:rPr>
        <w:t>December</w:t>
      </w:r>
      <w:r w:rsidR="008F474A" w:rsidRPr="00C439B5">
        <w:rPr>
          <w:lang w:val="en-US"/>
        </w:rPr>
        <w:t xml:space="preserve"> </w:t>
      </w:r>
      <w:r w:rsidR="00F549D7" w:rsidRPr="00C439B5">
        <w:rPr>
          <w:lang w:val="en-US"/>
        </w:rPr>
        <w:t>20</w:t>
      </w:r>
      <w:r w:rsidR="005A3F7A">
        <w:rPr>
          <w:lang w:val="en-US"/>
        </w:rPr>
        <w:t>2</w:t>
      </w:r>
      <w:r w:rsidR="00873298">
        <w:rPr>
          <w:lang w:val="en-US"/>
        </w:rPr>
        <w:t>2</w:t>
      </w:r>
      <w:r w:rsidR="00F549D7" w:rsidRPr="00C439B5">
        <w:rPr>
          <w:lang w:val="en-US"/>
        </w:rPr>
        <w:t xml:space="preserve"> </w:t>
      </w:r>
      <w:r w:rsidR="00012AA4" w:rsidRPr="00C439B5">
        <w:rPr>
          <w:lang w:val="en-US"/>
        </w:rPr>
        <w:t>amount</w:t>
      </w:r>
      <w:r w:rsidR="00FC58FD" w:rsidRPr="00C439B5">
        <w:rPr>
          <w:lang w:val="en-US"/>
        </w:rPr>
        <w:t>ed</w:t>
      </w:r>
      <w:r w:rsidR="00012AA4" w:rsidRPr="00C439B5">
        <w:rPr>
          <w:lang w:val="en-US"/>
        </w:rPr>
        <w:t xml:space="preserve"> to </w:t>
      </w:r>
      <w:r w:rsidR="00873298">
        <w:rPr>
          <w:lang w:val="en-US"/>
        </w:rPr>
        <w:t>109,7</w:t>
      </w:r>
      <w:r w:rsidR="00B346E0" w:rsidRPr="002E1055">
        <w:rPr>
          <w:lang w:val="en-US"/>
        </w:rPr>
        <w:t xml:space="preserve"> </w:t>
      </w:r>
      <w:r w:rsidRPr="00C439B5">
        <w:rPr>
          <w:lang w:val="en-US"/>
        </w:rPr>
        <w:t>million €</w:t>
      </w:r>
      <w:r w:rsidR="00012AA4" w:rsidRPr="00C439B5">
        <w:rPr>
          <w:lang w:val="en-US"/>
        </w:rPr>
        <w:t xml:space="preserve">, </w:t>
      </w:r>
      <w:r w:rsidR="00943FDC">
        <w:rPr>
          <w:lang w:val="en-US"/>
        </w:rPr>
        <w:t>de</w:t>
      </w:r>
      <w:r w:rsidR="00CD6B29" w:rsidRPr="00C439B5">
        <w:rPr>
          <w:lang w:val="en-US"/>
        </w:rPr>
        <w:t>creasing</w:t>
      </w:r>
      <w:r w:rsidR="00FC58FD" w:rsidRPr="00C439B5">
        <w:rPr>
          <w:lang w:val="en-US"/>
        </w:rPr>
        <w:t xml:space="preserve"> by </w:t>
      </w:r>
      <w:r w:rsidR="00456FB2">
        <w:rPr>
          <w:lang w:val="en-US"/>
        </w:rPr>
        <w:t>170,3</w:t>
      </w:r>
      <w:r w:rsidR="002E1055" w:rsidRPr="00E75109">
        <w:rPr>
          <w:lang w:val="en-US"/>
        </w:rPr>
        <w:t xml:space="preserve">% </w:t>
      </w:r>
      <w:r w:rsidR="00FC58FD" w:rsidRPr="00C439B5">
        <w:rPr>
          <w:lang w:val="en-US"/>
        </w:rPr>
        <w:t>compared to</w:t>
      </w:r>
      <w:r w:rsidR="00012AA4" w:rsidRPr="00C439B5">
        <w:rPr>
          <w:lang w:val="en-US"/>
        </w:rPr>
        <w:t xml:space="preserve"> the revenues received between J</w:t>
      </w:r>
      <w:r w:rsidR="006157D5">
        <w:rPr>
          <w:lang w:val="en-US"/>
        </w:rPr>
        <w:t>anuary</w:t>
      </w:r>
      <w:r w:rsidR="00012AA4" w:rsidRPr="00C439B5">
        <w:rPr>
          <w:lang w:val="en-US"/>
        </w:rPr>
        <w:t xml:space="preserve"> </w:t>
      </w:r>
      <w:r w:rsidR="00F549D7" w:rsidRPr="00C439B5">
        <w:rPr>
          <w:lang w:val="en-US"/>
        </w:rPr>
        <w:t>20</w:t>
      </w:r>
      <w:r w:rsidR="00057E9E">
        <w:rPr>
          <w:lang w:val="en-US"/>
        </w:rPr>
        <w:t>2</w:t>
      </w:r>
      <w:r w:rsidR="00456FB2">
        <w:rPr>
          <w:lang w:val="en-US"/>
        </w:rPr>
        <w:t>1</w:t>
      </w:r>
      <w:r w:rsidR="00057E9E">
        <w:rPr>
          <w:lang w:val="en-US"/>
        </w:rPr>
        <w:t xml:space="preserve"> </w:t>
      </w:r>
      <w:r w:rsidR="008F474A" w:rsidRPr="00C439B5">
        <w:rPr>
          <w:lang w:val="en-US"/>
        </w:rPr>
        <w:t xml:space="preserve">and </w:t>
      </w:r>
      <w:r w:rsidR="006157D5">
        <w:rPr>
          <w:lang w:val="en-US"/>
        </w:rPr>
        <w:t>December</w:t>
      </w:r>
      <w:r w:rsidR="008F474A" w:rsidRPr="00C439B5">
        <w:rPr>
          <w:lang w:val="en-US"/>
        </w:rPr>
        <w:t xml:space="preserve"> </w:t>
      </w:r>
      <w:r w:rsidR="00F549D7" w:rsidRPr="00C439B5">
        <w:rPr>
          <w:lang w:val="en-US"/>
        </w:rPr>
        <w:t>20</w:t>
      </w:r>
      <w:r w:rsidR="00057E9E">
        <w:rPr>
          <w:lang w:val="en-US"/>
        </w:rPr>
        <w:t>2</w:t>
      </w:r>
      <w:r w:rsidR="00456FB2">
        <w:rPr>
          <w:lang w:val="en-US"/>
        </w:rPr>
        <w:t>1</w:t>
      </w:r>
      <w:r w:rsidR="00D07AF5" w:rsidRPr="00C439B5">
        <w:rPr>
          <w:lang w:val="en-US"/>
        </w:rPr>
        <w:t xml:space="preserve">, </w:t>
      </w:r>
      <w:r w:rsidR="00D07AF5" w:rsidRPr="0097504B">
        <w:rPr>
          <w:lang w:val="en-US"/>
        </w:rPr>
        <w:t>due t</w:t>
      </w:r>
      <w:r w:rsidR="00D07AF5" w:rsidRPr="00FC54C0">
        <w:rPr>
          <w:lang w:val="en-US"/>
        </w:rPr>
        <w:t xml:space="preserve">o the </w:t>
      </w:r>
      <w:r w:rsidR="00C439B5" w:rsidRPr="00FC54C0">
        <w:rPr>
          <w:lang w:val="en-US"/>
        </w:rPr>
        <w:t>increase</w:t>
      </w:r>
      <w:r w:rsidR="00D07AF5" w:rsidRPr="0097504B">
        <w:rPr>
          <w:lang w:val="en-US"/>
        </w:rPr>
        <w:t xml:space="preserve"> in revenues from </w:t>
      </w:r>
      <w:r w:rsidR="00235477">
        <w:rPr>
          <w:lang w:val="en-US"/>
        </w:rPr>
        <w:t>exports</w:t>
      </w:r>
      <w:r w:rsidR="00012AA4" w:rsidRPr="0097504B">
        <w:rPr>
          <w:lang w:val="en-US"/>
        </w:rPr>
        <w:t>.</w:t>
      </w:r>
    </w:p>
    <w:p w14:paraId="03E98922" w14:textId="77777777" w:rsidR="00296D57" w:rsidRPr="000F3549" w:rsidRDefault="00296D57" w:rsidP="000D0BA3">
      <w:pPr>
        <w:pStyle w:val="ListParagraph"/>
        <w:jc w:val="both"/>
        <w:rPr>
          <w:lang w:val="en-US"/>
        </w:rPr>
      </w:pPr>
    </w:p>
    <w:p w14:paraId="291B93B8" w14:textId="15EC7325" w:rsidR="00FC58FD" w:rsidRDefault="00252530" w:rsidP="00456FB2">
      <w:pPr>
        <w:pStyle w:val="ListParagraph"/>
        <w:numPr>
          <w:ilvl w:val="0"/>
          <w:numId w:val="19"/>
        </w:numPr>
        <w:spacing w:line="360" w:lineRule="auto"/>
        <w:jc w:val="both"/>
        <w:rPr>
          <w:lang w:val="en-US"/>
        </w:rPr>
      </w:pPr>
      <w:r w:rsidRPr="00F3708E">
        <w:rPr>
          <w:lang w:val="en-US"/>
        </w:rPr>
        <w:t xml:space="preserve">The </w:t>
      </w:r>
      <w:r w:rsidR="00141308" w:rsidRPr="00F3708E">
        <w:rPr>
          <w:lang w:val="en-US"/>
        </w:rPr>
        <w:t xml:space="preserve">analysis of the revenues </w:t>
      </w:r>
      <w:r w:rsidR="00012AA4" w:rsidRPr="00F3708E">
        <w:rPr>
          <w:lang w:val="en-US"/>
        </w:rPr>
        <w:t xml:space="preserve">shows that </w:t>
      </w:r>
      <w:r w:rsidR="00456FB2">
        <w:rPr>
          <w:lang w:val="en-US"/>
        </w:rPr>
        <w:t>70,4</w:t>
      </w:r>
      <w:r w:rsidR="00057E9E" w:rsidRPr="00057E9E">
        <w:rPr>
          <w:lang w:val="en-US"/>
        </w:rPr>
        <w:t xml:space="preserve">% </w:t>
      </w:r>
      <w:r w:rsidR="00012AA4" w:rsidRPr="00F3708E">
        <w:rPr>
          <w:lang w:val="en-US"/>
        </w:rPr>
        <w:t xml:space="preserve">of the revenues comes from auctions for capacity for imports and </w:t>
      </w:r>
      <w:r w:rsidR="00456FB2">
        <w:rPr>
          <w:lang w:val="en-US"/>
        </w:rPr>
        <w:t>29,6</w:t>
      </w:r>
      <w:r w:rsidR="00057E9E" w:rsidRPr="00057E9E">
        <w:rPr>
          <w:lang w:val="en-US"/>
        </w:rPr>
        <w:t xml:space="preserve">% </w:t>
      </w:r>
      <w:r w:rsidR="00012AA4" w:rsidRPr="00F3708E">
        <w:rPr>
          <w:lang w:val="en-US"/>
        </w:rPr>
        <w:t>f</w:t>
      </w:r>
      <w:r w:rsidR="00FC58FD" w:rsidRPr="00F3708E">
        <w:rPr>
          <w:lang w:val="en-US"/>
        </w:rPr>
        <w:t>or</w:t>
      </w:r>
      <w:r w:rsidR="00012AA4" w:rsidRPr="00F3708E">
        <w:rPr>
          <w:lang w:val="en-US"/>
        </w:rPr>
        <w:t xml:space="preserve"> exports. The analysis </w:t>
      </w:r>
      <w:r w:rsidR="00141308" w:rsidRPr="00F3708E">
        <w:rPr>
          <w:lang w:val="en-US"/>
        </w:rPr>
        <w:t xml:space="preserve">per </w:t>
      </w:r>
      <w:r w:rsidR="00D54817" w:rsidRPr="00F3708E">
        <w:rPr>
          <w:lang w:val="en-US"/>
        </w:rPr>
        <w:t xml:space="preserve">border </w:t>
      </w:r>
      <w:r w:rsidR="00141308" w:rsidRPr="00F3708E">
        <w:rPr>
          <w:lang w:val="en-US"/>
        </w:rPr>
        <w:t xml:space="preserve">shows that </w:t>
      </w:r>
      <w:r w:rsidR="00456FB2">
        <w:rPr>
          <w:lang w:val="en-US"/>
        </w:rPr>
        <w:t>34,8</w:t>
      </w:r>
      <w:r w:rsidR="00057E9E" w:rsidRPr="00057E9E">
        <w:rPr>
          <w:lang w:val="en-US"/>
        </w:rPr>
        <w:t xml:space="preserve">% </w:t>
      </w:r>
      <w:r w:rsidR="00012AA4" w:rsidRPr="00F3708E">
        <w:rPr>
          <w:lang w:val="en-US"/>
        </w:rPr>
        <w:t>of the revenues come</w:t>
      </w:r>
      <w:r w:rsidR="00FC58FD" w:rsidRPr="00F3708E">
        <w:rPr>
          <w:lang w:val="en-US"/>
        </w:rPr>
        <w:t>s</w:t>
      </w:r>
      <w:r w:rsidR="00012AA4" w:rsidRPr="00F3708E">
        <w:rPr>
          <w:lang w:val="en-US"/>
        </w:rPr>
        <w:t xml:space="preserve"> from capacity auctions between Greece and Bulgaria, </w:t>
      </w:r>
      <w:r w:rsidR="00456FB2">
        <w:rPr>
          <w:lang w:val="en-US"/>
        </w:rPr>
        <w:t>10,5</w:t>
      </w:r>
      <w:r w:rsidR="00057E9E" w:rsidRPr="00057E9E">
        <w:rPr>
          <w:lang w:val="en-US"/>
        </w:rPr>
        <w:t xml:space="preserve">% </w:t>
      </w:r>
      <w:r w:rsidR="00A76964" w:rsidRPr="00F3708E">
        <w:rPr>
          <w:lang w:val="en-US"/>
        </w:rPr>
        <w:t xml:space="preserve">from auctions between Greece and </w:t>
      </w:r>
      <w:r w:rsidR="00060A79">
        <w:rPr>
          <w:lang w:val="en-US"/>
        </w:rPr>
        <w:t>North Macedonia</w:t>
      </w:r>
      <w:r w:rsidR="00FD1BCB" w:rsidRPr="00F3708E">
        <w:rPr>
          <w:lang w:val="en-US"/>
        </w:rPr>
        <w:t xml:space="preserve">, </w:t>
      </w:r>
      <w:r w:rsidR="00456FB2">
        <w:rPr>
          <w:lang w:val="en-US"/>
        </w:rPr>
        <w:t>33,6</w:t>
      </w:r>
      <w:r w:rsidR="00057E9E" w:rsidRPr="00057E9E">
        <w:rPr>
          <w:lang w:val="en-US"/>
        </w:rPr>
        <w:t xml:space="preserve">% </w:t>
      </w:r>
      <w:r w:rsidR="00054A6F" w:rsidRPr="00F3708E">
        <w:rPr>
          <w:lang w:val="en-US"/>
        </w:rPr>
        <w:t xml:space="preserve">from auctions between Greece and Italy, </w:t>
      </w:r>
      <w:r w:rsidR="00456FB2">
        <w:rPr>
          <w:lang w:val="en-US"/>
        </w:rPr>
        <w:t>7,1</w:t>
      </w:r>
      <w:r w:rsidR="00057E9E" w:rsidRPr="00057E9E">
        <w:rPr>
          <w:lang w:val="en-US"/>
        </w:rPr>
        <w:t xml:space="preserve">% </w:t>
      </w:r>
      <w:r w:rsidR="00FD1BCB" w:rsidRPr="00F3708E">
        <w:rPr>
          <w:lang w:val="en-US"/>
        </w:rPr>
        <w:t xml:space="preserve">from auctions between Greece and Albania, and </w:t>
      </w:r>
      <w:r w:rsidR="00456FB2">
        <w:rPr>
          <w:lang w:val="en-US"/>
        </w:rPr>
        <w:t>14,1</w:t>
      </w:r>
      <w:r w:rsidR="00057E9E" w:rsidRPr="00057E9E">
        <w:rPr>
          <w:lang w:val="en-US"/>
        </w:rPr>
        <w:t xml:space="preserve">% </w:t>
      </w:r>
      <w:r w:rsidR="00FD1BCB" w:rsidRPr="00F3708E">
        <w:rPr>
          <w:lang w:val="en-US"/>
        </w:rPr>
        <w:t>from auctions between Greece and Turkey.</w:t>
      </w:r>
      <w:r w:rsidR="00E31EE6" w:rsidRPr="00F3708E">
        <w:rPr>
          <w:lang w:val="en-US"/>
        </w:rPr>
        <w:t xml:space="preserve"> Moreover, </w:t>
      </w:r>
      <w:r w:rsidR="009E3DE9" w:rsidRPr="00F3708E">
        <w:rPr>
          <w:lang w:val="en-US"/>
        </w:rPr>
        <w:t>it</w:t>
      </w:r>
      <w:r w:rsidR="00141308" w:rsidRPr="00F3708E">
        <w:rPr>
          <w:lang w:val="en-US"/>
        </w:rPr>
        <w:t xml:space="preserve"> should be mentioned </w:t>
      </w:r>
      <w:r w:rsidR="00E31EE6" w:rsidRPr="00F3708E">
        <w:rPr>
          <w:lang w:val="en-US"/>
        </w:rPr>
        <w:t>that the shares for exports to Bulgaria</w:t>
      </w:r>
      <w:r w:rsidR="00C439B5" w:rsidRPr="00F3708E">
        <w:rPr>
          <w:lang w:val="en-US"/>
        </w:rPr>
        <w:t xml:space="preserve"> </w:t>
      </w:r>
      <w:r w:rsidR="00E31EE6" w:rsidRPr="00F3708E">
        <w:rPr>
          <w:lang w:val="en-US"/>
        </w:rPr>
        <w:t xml:space="preserve">and </w:t>
      </w:r>
      <w:r w:rsidR="00C439B5" w:rsidRPr="00F3708E">
        <w:rPr>
          <w:lang w:val="en-US"/>
        </w:rPr>
        <w:t>Turkey</w:t>
      </w:r>
      <w:r w:rsidR="00E31EE6" w:rsidRPr="00F3708E">
        <w:rPr>
          <w:lang w:val="en-US"/>
        </w:rPr>
        <w:t xml:space="preserve"> are almost zero</w:t>
      </w:r>
      <w:r w:rsidR="00141308" w:rsidRPr="00F3708E">
        <w:rPr>
          <w:lang w:val="en-US"/>
        </w:rPr>
        <w:t>.</w:t>
      </w:r>
    </w:p>
    <w:p w14:paraId="07D3C870" w14:textId="408A6733" w:rsidR="00012AA4" w:rsidRPr="009A5A26" w:rsidRDefault="00D56778" w:rsidP="000D0BA3">
      <w:pPr>
        <w:pStyle w:val="ListParagraph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8A5EFAA" wp14:editId="6CC5DE61">
            <wp:extent cx="5061857" cy="2606040"/>
            <wp:effectExtent l="0" t="0" r="5715" b="381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EA102138-27FA-979D-4CA9-C4B0EAE359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718CDA" w14:textId="367CF658" w:rsidR="00EF0FF7" w:rsidRDefault="00EF0FF7" w:rsidP="000D0BA3">
      <w:pPr>
        <w:pStyle w:val="ListParagraph"/>
        <w:jc w:val="center"/>
        <w:rPr>
          <w:lang w:val="en-US"/>
        </w:rPr>
      </w:pPr>
    </w:p>
    <w:p w14:paraId="333DB83E" w14:textId="7C961DAF" w:rsidR="00543820" w:rsidRDefault="009B7448" w:rsidP="00543820">
      <w:pPr>
        <w:pStyle w:val="ListParagraph"/>
        <w:jc w:val="both"/>
        <w:rPr>
          <w:lang w:val="en-US"/>
        </w:rPr>
      </w:pPr>
      <w:r w:rsidRPr="00A51E16">
        <w:rPr>
          <w:lang w:val="en-US"/>
        </w:rPr>
        <w:t xml:space="preserve">Additionally, the yearly </w:t>
      </w:r>
      <w:r w:rsidR="000336D7" w:rsidRPr="00A51E16">
        <w:rPr>
          <w:lang w:val="en-US"/>
        </w:rPr>
        <w:t>observations</w:t>
      </w:r>
      <w:r w:rsidRPr="00A51E16">
        <w:rPr>
          <w:lang w:val="en-US"/>
        </w:rPr>
        <w:t xml:space="preserve"> apply</w:t>
      </w:r>
      <w:r w:rsidR="000336D7" w:rsidRPr="00A51E16">
        <w:rPr>
          <w:lang w:val="en-US"/>
        </w:rPr>
        <w:t xml:space="preserve"> mostly also</w:t>
      </w:r>
      <w:r w:rsidRPr="00A51E16">
        <w:rPr>
          <w:lang w:val="en-US"/>
        </w:rPr>
        <w:t xml:space="preserve"> in monthly basis, with the revenues form imports from </w:t>
      </w:r>
      <w:r w:rsidR="00E0090E">
        <w:rPr>
          <w:lang w:val="en-US"/>
        </w:rPr>
        <w:t xml:space="preserve">Italy, </w:t>
      </w:r>
      <w:r w:rsidRPr="00A51E16">
        <w:rPr>
          <w:lang w:val="en-US"/>
        </w:rPr>
        <w:t>Bulgaria</w:t>
      </w:r>
      <w:r w:rsidR="00E0090E">
        <w:rPr>
          <w:lang w:val="en-US"/>
        </w:rPr>
        <w:t xml:space="preserve"> and</w:t>
      </w:r>
      <w:r w:rsidRPr="00A51E16">
        <w:rPr>
          <w:lang w:val="en-US"/>
        </w:rPr>
        <w:t xml:space="preserve"> </w:t>
      </w:r>
      <w:r w:rsidR="008E787B">
        <w:rPr>
          <w:lang w:val="en-US"/>
        </w:rPr>
        <w:t>North Macedonia</w:t>
      </w:r>
      <w:r w:rsidRPr="00A51E16">
        <w:rPr>
          <w:lang w:val="en-US"/>
        </w:rPr>
        <w:t xml:space="preserve"> representing the major share of the revenues from the allocation of capacity rights on interconnections.</w:t>
      </w:r>
    </w:p>
    <w:p w14:paraId="6327A2AD" w14:textId="3FD7D1B6" w:rsidR="00543820" w:rsidRDefault="00543820" w:rsidP="009B7448">
      <w:pPr>
        <w:pStyle w:val="ListParagraph"/>
        <w:jc w:val="both"/>
        <w:rPr>
          <w:lang w:val="en-US"/>
        </w:rPr>
      </w:pPr>
    </w:p>
    <w:p w14:paraId="50985469" w14:textId="017CA016" w:rsidR="00061302" w:rsidRDefault="00871FB0" w:rsidP="00061302">
      <w:pPr>
        <w:pStyle w:val="ListParagraph"/>
        <w:jc w:val="both"/>
        <w:rPr>
          <w:lang w:val="en-US"/>
        </w:rPr>
      </w:pPr>
      <w:r>
        <w:rPr>
          <w:noProof/>
        </w:rPr>
        <w:drawing>
          <wp:inline distT="0" distB="0" distL="0" distR="0" wp14:anchorId="25161295" wp14:editId="3C03D7D5">
            <wp:extent cx="5139690" cy="3203890"/>
            <wp:effectExtent l="0" t="0" r="3810" b="158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92933B4-DCE5-858C-E53B-BC86CF905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7ED4552" w14:textId="77777777" w:rsidR="00D56778" w:rsidRPr="00963B91" w:rsidRDefault="00D56778" w:rsidP="00963B91">
      <w:pPr>
        <w:jc w:val="both"/>
        <w:rPr>
          <w:lang w:val="en-US"/>
        </w:rPr>
      </w:pPr>
    </w:p>
    <w:p w14:paraId="1777AD34" w14:textId="2EC90FDA" w:rsidR="00141308" w:rsidRDefault="00141308" w:rsidP="00141308">
      <w:pPr>
        <w:pStyle w:val="Heading2"/>
        <w:rPr>
          <w:lang w:val="en-US"/>
        </w:rPr>
      </w:pPr>
      <w:r w:rsidRPr="0038103B">
        <w:rPr>
          <w:lang w:val="en-US"/>
        </w:rPr>
        <w:t>Congestion revenues management</w:t>
      </w:r>
      <w:r>
        <w:rPr>
          <w:lang w:val="en-US"/>
        </w:rPr>
        <w:t xml:space="preserve"> </w:t>
      </w:r>
    </w:p>
    <w:p w14:paraId="09B5B6C9" w14:textId="77777777" w:rsidR="00FD1BCB" w:rsidRPr="0038103B" w:rsidRDefault="00FD1BCB" w:rsidP="0089156E">
      <w:pPr>
        <w:rPr>
          <w:lang w:val="en-US"/>
        </w:rPr>
      </w:pPr>
    </w:p>
    <w:p w14:paraId="73EC277E" w14:textId="662C2D34" w:rsidR="008E787B" w:rsidRDefault="0003609D" w:rsidP="00456F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  <w:r>
        <w:rPr>
          <w:rFonts w:cs="Helvetica"/>
          <w:lang w:val="en-US"/>
        </w:rPr>
        <w:t>With the</w:t>
      </w:r>
      <w:r w:rsidR="00141308" w:rsidRPr="009B08CD">
        <w:rPr>
          <w:rFonts w:cs="Helvetica"/>
          <w:lang w:val="en-US"/>
        </w:rPr>
        <w:t xml:space="preserve"> Decision </w:t>
      </w:r>
      <w:r w:rsidR="00C113E3">
        <w:rPr>
          <w:rFonts w:cs="Helvetica"/>
          <w:lang w:val="en-US"/>
        </w:rPr>
        <w:t>868</w:t>
      </w:r>
      <w:r>
        <w:rPr>
          <w:rFonts w:cs="Helvetica"/>
          <w:lang w:val="en-US"/>
        </w:rPr>
        <w:t xml:space="preserve">, issued on </w:t>
      </w:r>
      <w:r w:rsidR="00FD1BCB">
        <w:rPr>
          <w:rFonts w:cs="Helvetica"/>
          <w:lang w:val="en-US"/>
        </w:rPr>
        <w:t>1</w:t>
      </w:r>
      <w:r w:rsidR="00C113E3">
        <w:rPr>
          <w:rFonts w:cs="Helvetica"/>
          <w:lang w:val="en-US"/>
        </w:rPr>
        <w:t>8</w:t>
      </w:r>
      <w:r w:rsidR="00FD1BCB">
        <w:rPr>
          <w:rFonts w:cs="Helvetica"/>
          <w:lang w:val="en-US"/>
        </w:rPr>
        <w:t>/</w:t>
      </w:r>
      <w:r w:rsidR="00C113E3">
        <w:rPr>
          <w:rFonts w:cs="Helvetica"/>
          <w:lang w:val="en-US"/>
        </w:rPr>
        <w:t>09</w:t>
      </w:r>
      <w:r>
        <w:rPr>
          <w:rFonts w:cs="Helvetica"/>
          <w:lang w:val="en-US"/>
        </w:rPr>
        <w:t>/201</w:t>
      </w:r>
      <w:r w:rsidR="00C113E3">
        <w:rPr>
          <w:rFonts w:cs="Helvetica"/>
          <w:lang w:val="en-US"/>
        </w:rPr>
        <w:t>9</w:t>
      </w:r>
      <w:r>
        <w:rPr>
          <w:rFonts w:cs="Helvetica"/>
          <w:lang w:val="en-US"/>
        </w:rPr>
        <w:t>,</w:t>
      </w:r>
      <w:r w:rsidR="00141308" w:rsidRPr="009B08CD">
        <w:rPr>
          <w:rFonts w:cs="Helvetica"/>
          <w:lang w:val="en-US"/>
        </w:rPr>
        <w:t xml:space="preserve"> </w:t>
      </w:r>
      <w:r>
        <w:rPr>
          <w:rFonts w:cs="Helvetica"/>
          <w:lang w:val="en-US"/>
        </w:rPr>
        <w:t>RAE set</w:t>
      </w:r>
      <w:r w:rsidR="00141308" w:rsidRPr="009B08CD">
        <w:rPr>
          <w:rFonts w:cs="Helvetica"/>
          <w:lang w:val="en-US"/>
        </w:rPr>
        <w:t xml:space="preserve"> </w:t>
      </w:r>
      <w:r>
        <w:rPr>
          <w:rFonts w:cs="Helvetica"/>
          <w:lang w:val="en-US"/>
        </w:rPr>
        <w:t>the</w:t>
      </w:r>
      <w:r w:rsidR="00141308">
        <w:rPr>
          <w:rFonts w:cs="Helvetica"/>
          <w:lang w:val="en-US"/>
        </w:rPr>
        <w:t xml:space="preserve"> amount of </w:t>
      </w:r>
      <w:r w:rsidRPr="0003609D">
        <w:rPr>
          <w:rFonts w:cs="Helvetica"/>
          <w:lang w:val="en-US"/>
        </w:rPr>
        <w:t>€</w:t>
      </w:r>
      <w:r>
        <w:rPr>
          <w:rFonts w:cs="Helvetica"/>
          <w:lang w:val="en-US"/>
        </w:rPr>
        <w:t xml:space="preserve"> </w:t>
      </w:r>
      <w:r w:rsidR="00C113E3">
        <w:rPr>
          <w:rFonts w:cs="Helvetica"/>
          <w:b/>
          <w:lang w:val="en-US"/>
        </w:rPr>
        <w:t>70</w:t>
      </w:r>
      <w:r w:rsidR="00AF168D">
        <w:rPr>
          <w:rFonts w:cs="Helvetica"/>
          <w:b/>
          <w:lang w:val="en-US"/>
        </w:rPr>
        <w:t>,000,</w:t>
      </w:r>
      <w:r>
        <w:rPr>
          <w:rFonts w:cs="Helvetica"/>
          <w:b/>
          <w:lang w:val="en-US"/>
        </w:rPr>
        <w:t>000</w:t>
      </w:r>
      <w:r>
        <w:rPr>
          <w:rFonts w:cs="Helvetica"/>
          <w:lang w:val="en-US"/>
        </w:rPr>
        <w:t>, as the maximum</w:t>
      </w:r>
      <w:r w:rsidR="00141308" w:rsidRPr="00111ECA">
        <w:rPr>
          <w:rFonts w:cs="Helvetica"/>
          <w:lang w:val="en-US"/>
        </w:rPr>
        <w:t xml:space="preserve"> </w:t>
      </w:r>
      <w:r w:rsidR="00141308">
        <w:rPr>
          <w:rFonts w:cs="Helvetica"/>
          <w:lang w:val="en-US"/>
        </w:rPr>
        <w:t xml:space="preserve">that could be </w:t>
      </w:r>
      <w:r>
        <w:rPr>
          <w:rFonts w:cs="Helvetica"/>
          <w:lang w:val="en-US"/>
        </w:rPr>
        <w:t>withdrawn</w:t>
      </w:r>
      <w:r w:rsidR="00141308">
        <w:rPr>
          <w:rFonts w:cs="Helvetica"/>
          <w:lang w:val="en-US"/>
        </w:rPr>
        <w:t xml:space="preserve"> from the</w:t>
      </w:r>
      <w:r>
        <w:rPr>
          <w:rFonts w:cs="Helvetica"/>
          <w:lang w:val="en-US"/>
        </w:rPr>
        <w:t xml:space="preserve"> yearly</w:t>
      </w:r>
      <w:r w:rsidR="00141308">
        <w:rPr>
          <w:rFonts w:cs="Helvetica"/>
          <w:lang w:val="en-US"/>
        </w:rPr>
        <w:t xml:space="preserve"> congestion </w:t>
      </w:r>
      <w:r>
        <w:rPr>
          <w:rFonts w:cs="Helvetica"/>
          <w:lang w:val="en-US"/>
        </w:rPr>
        <w:t xml:space="preserve">revenues, </w:t>
      </w:r>
      <w:r w:rsidR="00141308">
        <w:rPr>
          <w:rFonts w:cs="Helvetica"/>
          <w:lang w:val="en-US"/>
        </w:rPr>
        <w:t>when approving network tariffs.</w:t>
      </w:r>
    </w:p>
    <w:p w14:paraId="47CF1F4C" w14:textId="093BBECD" w:rsidR="00963B91" w:rsidRDefault="00963B91" w:rsidP="00963B91">
      <w:pPr>
        <w:autoSpaceDE w:val="0"/>
        <w:autoSpaceDN w:val="0"/>
        <w:adjustRightInd w:val="0"/>
        <w:jc w:val="both"/>
        <w:rPr>
          <w:rFonts w:cs="Helvetica"/>
          <w:lang w:val="en-US"/>
        </w:rPr>
      </w:pPr>
    </w:p>
    <w:p w14:paraId="541377F1" w14:textId="77777777" w:rsidR="00963B91" w:rsidRPr="00963B91" w:rsidRDefault="00963B91" w:rsidP="00963B91">
      <w:pPr>
        <w:autoSpaceDE w:val="0"/>
        <w:autoSpaceDN w:val="0"/>
        <w:adjustRightInd w:val="0"/>
        <w:jc w:val="both"/>
        <w:rPr>
          <w:rFonts w:cs="Helvetica"/>
          <w:lang w:val="en-US"/>
        </w:rPr>
      </w:pPr>
    </w:p>
    <w:p w14:paraId="57AB5A6A" w14:textId="37DC45B2" w:rsidR="00141308" w:rsidRDefault="00141308" w:rsidP="00456F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  <w:r>
        <w:rPr>
          <w:rFonts w:cs="Helvetica"/>
          <w:lang w:val="en-US"/>
        </w:rPr>
        <w:lastRenderedPageBreak/>
        <w:t xml:space="preserve">In addition, according to the Grid Code, </w:t>
      </w:r>
      <w:r w:rsidR="0013681D">
        <w:rPr>
          <w:rFonts w:cs="Helvetica"/>
          <w:lang w:val="en-US"/>
        </w:rPr>
        <w:t>subsection 11.11</w:t>
      </w:r>
      <w:r>
        <w:rPr>
          <w:rFonts w:cs="Helvetica"/>
          <w:lang w:val="en-US"/>
        </w:rPr>
        <w:t>:</w:t>
      </w:r>
    </w:p>
    <w:p w14:paraId="63B86E92" w14:textId="399FA96F" w:rsidR="00141308" w:rsidRPr="00645F8E" w:rsidRDefault="00141308" w:rsidP="00D062D8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cs="Helvetica"/>
          <w:i/>
          <w:lang w:val="en-US"/>
        </w:rPr>
      </w:pPr>
      <w:r>
        <w:rPr>
          <w:rFonts w:cs="Helvetica"/>
          <w:lang w:val="en-US"/>
        </w:rPr>
        <w:t>“</w:t>
      </w:r>
      <w:r w:rsidR="00983ECA">
        <w:rPr>
          <w:rFonts w:cs="Helvetica"/>
          <w:lang w:val="en-US"/>
        </w:rPr>
        <w:t xml:space="preserve">In the </w:t>
      </w:r>
      <w:r w:rsidR="00983ECA" w:rsidRPr="00D062D8">
        <w:rPr>
          <w:rFonts w:cs="Helvetica"/>
          <w:i/>
          <w:lang w:val="en-US"/>
        </w:rPr>
        <w:t xml:space="preserve">Account </w:t>
      </w:r>
      <w:r w:rsidR="00983ECA" w:rsidRPr="00D062D8">
        <w:rPr>
          <w:rFonts w:cs="Helvetica"/>
          <w:i/>
        </w:rPr>
        <w:t>Λ</w:t>
      </w:r>
      <w:r w:rsidR="00983ECA" w:rsidRPr="00D062D8">
        <w:rPr>
          <w:rFonts w:cs="Helvetica"/>
          <w:i/>
          <w:lang w:val="en-US"/>
        </w:rPr>
        <w:t>-</w:t>
      </w:r>
      <w:r w:rsidR="00983ECA">
        <w:rPr>
          <w:rFonts w:cs="Helvetica"/>
          <w:i/>
          <w:lang w:val="en-US"/>
        </w:rPr>
        <w:t>E</w:t>
      </w:r>
      <w:r w:rsidR="00983ECA" w:rsidRPr="00D062D8">
        <w:rPr>
          <w:rFonts w:cs="Helvetica"/>
          <w:i/>
          <w:lang w:val="en-US"/>
        </w:rPr>
        <w:t xml:space="preserve"> </w:t>
      </w:r>
      <w:r w:rsidR="0037767D">
        <w:rPr>
          <w:rFonts w:cs="Helvetica"/>
          <w:i/>
          <w:lang w:val="en-US"/>
        </w:rPr>
        <w:t>is</w:t>
      </w:r>
      <w:r w:rsidRPr="00D062D8">
        <w:rPr>
          <w:rFonts w:cs="Helvetica"/>
          <w:i/>
          <w:lang w:val="en-US"/>
        </w:rPr>
        <w:t xml:space="preserve"> registered as revenue </w:t>
      </w:r>
      <w:r w:rsidR="004F5964">
        <w:rPr>
          <w:rFonts w:cs="Helvetica"/>
          <w:i/>
          <w:lang w:val="en-US"/>
        </w:rPr>
        <w:t xml:space="preserve">the amount collected by the </w:t>
      </w:r>
      <w:r w:rsidR="00DF42E6" w:rsidRPr="00DF42E6">
        <w:rPr>
          <w:rFonts w:cs="Helvetica"/>
          <w:i/>
          <w:lang w:val="en-US"/>
        </w:rPr>
        <w:t>Greek Transmission System Operator, ADMIE</w:t>
      </w:r>
      <w:r w:rsidR="00DF42E6">
        <w:rPr>
          <w:rFonts w:cs="Helvetica"/>
          <w:i/>
          <w:lang w:val="en-US"/>
        </w:rPr>
        <w:t>,</w:t>
      </w:r>
      <w:r w:rsidR="00067D40">
        <w:rPr>
          <w:rFonts w:cs="Helvetica"/>
          <w:i/>
          <w:lang w:val="en-US"/>
        </w:rPr>
        <w:t xml:space="preserve"> </w:t>
      </w:r>
      <w:r w:rsidR="00067D40" w:rsidRPr="00D062D8">
        <w:rPr>
          <w:rFonts w:cs="Helvetica"/>
          <w:i/>
          <w:lang w:val="en-US"/>
        </w:rPr>
        <w:t>for the allocation of the capacity of interconnections</w:t>
      </w:r>
      <w:r w:rsidR="006145B7">
        <w:rPr>
          <w:rFonts w:cs="Helvetica"/>
          <w:i/>
          <w:lang w:val="en-US"/>
        </w:rPr>
        <w:t>.</w:t>
      </w:r>
      <w:r w:rsidR="004F5964">
        <w:rPr>
          <w:rFonts w:cs="Helvetica"/>
          <w:i/>
          <w:lang w:val="en-US"/>
        </w:rPr>
        <w:t xml:space="preserve"> </w:t>
      </w:r>
      <w:r w:rsidR="00261AB4" w:rsidRPr="00261AB4">
        <w:rPr>
          <w:rFonts w:cs="Helvetica"/>
          <w:i/>
          <w:lang w:val="en-US"/>
        </w:rPr>
        <w:t>The</w:t>
      </w:r>
      <w:r w:rsidR="00680BA7">
        <w:rPr>
          <w:rFonts w:cs="Helvetica"/>
          <w:i/>
          <w:lang w:val="en-US"/>
        </w:rPr>
        <w:t xml:space="preserve"> total</w:t>
      </w:r>
      <w:r w:rsidR="001D1E7E">
        <w:rPr>
          <w:rFonts w:cs="Helvetica"/>
          <w:i/>
          <w:lang w:val="en-US"/>
        </w:rPr>
        <w:t xml:space="preserve"> amount collected</w:t>
      </w:r>
      <w:r w:rsidR="00261AB4" w:rsidRPr="00261AB4">
        <w:rPr>
          <w:rFonts w:cs="Helvetica"/>
          <w:i/>
          <w:lang w:val="en-US"/>
        </w:rPr>
        <w:t xml:space="preserve"> </w:t>
      </w:r>
      <w:r w:rsidR="001D1E7E" w:rsidRPr="00D062D8">
        <w:rPr>
          <w:rFonts w:cs="Helvetica"/>
          <w:i/>
          <w:lang w:val="en-US"/>
        </w:rPr>
        <w:t xml:space="preserve">is available exclusively for the purposes set out in the provisions of the Regulation (EC) </w:t>
      </w:r>
      <w:r w:rsidR="00A03A3C" w:rsidRPr="00A03A3C">
        <w:rPr>
          <w:rFonts w:cs="Helvetica"/>
          <w:i/>
          <w:lang w:val="en-US"/>
        </w:rPr>
        <w:t>No 943/201</w:t>
      </w:r>
      <w:r w:rsidR="00314448" w:rsidRPr="00D062D8">
        <w:rPr>
          <w:rFonts w:cs="Helvetica"/>
          <w:i/>
          <w:lang w:val="en-US"/>
        </w:rPr>
        <w:t>.</w:t>
      </w:r>
      <w:r w:rsidR="00314448" w:rsidRPr="00A03A3C">
        <w:rPr>
          <w:lang w:val="en-US"/>
        </w:rPr>
        <w:t>”</w:t>
      </w:r>
    </w:p>
    <w:p w14:paraId="083CDBF3" w14:textId="77777777" w:rsidR="007C4401" w:rsidRDefault="007C4401" w:rsidP="00D062D8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lang w:val="en-US"/>
        </w:rPr>
      </w:pPr>
    </w:p>
    <w:p w14:paraId="68A42DCB" w14:textId="00C601DC" w:rsidR="0003609D" w:rsidRPr="00EC3120" w:rsidRDefault="00E24EE2" w:rsidP="00456F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lang w:val="en-US"/>
        </w:rPr>
      </w:pPr>
      <w:r w:rsidRPr="00EC3120">
        <w:rPr>
          <w:rFonts w:cs="Helvetica"/>
          <w:lang w:val="en-US"/>
        </w:rPr>
        <w:t xml:space="preserve">With the Decision </w:t>
      </w:r>
      <w:r w:rsidR="009335D3" w:rsidRPr="00EC3120">
        <w:rPr>
          <w:rFonts w:cs="Helvetica"/>
          <w:b/>
          <w:bCs/>
          <w:lang w:val="en-US"/>
        </w:rPr>
        <w:t>910</w:t>
      </w:r>
      <w:r w:rsidR="00956C6D" w:rsidRPr="00EC3120">
        <w:rPr>
          <w:b/>
          <w:lang w:val="en-US"/>
        </w:rPr>
        <w:t>/202</w:t>
      </w:r>
      <w:r w:rsidR="00C939C1" w:rsidRPr="00EC3120">
        <w:rPr>
          <w:b/>
          <w:lang w:val="en-US"/>
        </w:rPr>
        <w:t>2</w:t>
      </w:r>
      <w:r w:rsidRPr="00EC3120">
        <w:rPr>
          <w:rFonts w:cs="Helvetica"/>
          <w:bCs/>
          <w:lang w:val="en-US"/>
        </w:rPr>
        <w:t xml:space="preserve">, RAE approved the usage of </w:t>
      </w:r>
      <w:bookmarkStart w:id="0" w:name="_Hlk47113856"/>
      <w:r w:rsidR="004159CD" w:rsidRPr="00EC3120">
        <w:rPr>
          <w:b/>
          <w:bCs/>
          <w:lang w:val="en-US"/>
        </w:rPr>
        <w:t>€</w:t>
      </w:r>
      <w:bookmarkEnd w:id="0"/>
      <w:r w:rsidR="009335D3" w:rsidRPr="00EC3120">
        <w:rPr>
          <w:b/>
          <w:bCs/>
          <w:lang w:val="en-US"/>
        </w:rPr>
        <w:t>68</w:t>
      </w:r>
      <w:r w:rsidR="002E5052" w:rsidRPr="00EC3120">
        <w:rPr>
          <w:b/>
          <w:bCs/>
          <w:lang w:val="en-US"/>
        </w:rPr>
        <w:t>.</w:t>
      </w:r>
      <w:r w:rsidR="009335D3" w:rsidRPr="00EC3120">
        <w:rPr>
          <w:b/>
          <w:bCs/>
          <w:lang w:val="en-US"/>
        </w:rPr>
        <w:t>674</w:t>
      </w:r>
      <w:r w:rsidR="002E5052" w:rsidRPr="00EC3120">
        <w:rPr>
          <w:b/>
          <w:bCs/>
          <w:lang w:val="en-US"/>
        </w:rPr>
        <w:t>.</w:t>
      </w:r>
      <w:r w:rsidR="009335D3" w:rsidRPr="00EC3120">
        <w:rPr>
          <w:b/>
          <w:bCs/>
          <w:lang w:val="en-US"/>
        </w:rPr>
        <w:t>943</w:t>
      </w:r>
      <w:r w:rsidR="002E5052" w:rsidRPr="00EC3120">
        <w:rPr>
          <w:b/>
          <w:bCs/>
          <w:lang w:val="en-US"/>
        </w:rPr>
        <w:t>,3</w:t>
      </w:r>
      <w:r w:rsidR="009335D3" w:rsidRPr="00EC3120">
        <w:rPr>
          <w:b/>
          <w:bCs/>
          <w:lang w:val="en-US"/>
        </w:rPr>
        <w:t>9</w:t>
      </w:r>
      <w:r w:rsidR="002E5052" w:rsidRPr="00EC3120">
        <w:rPr>
          <w:b/>
          <w:bCs/>
          <w:lang w:val="en-US"/>
        </w:rPr>
        <w:t xml:space="preserve"> </w:t>
      </w:r>
      <w:r w:rsidR="003E1003" w:rsidRPr="00EC3120">
        <w:rPr>
          <w:lang w:val="en-US"/>
        </w:rPr>
        <w:t>respectively</w:t>
      </w:r>
      <w:r w:rsidR="006D2F60" w:rsidRPr="00EC3120">
        <w:rPr>
          <w:lang w:val="en-US"/>
        </w:rPr>
        <w:t>,</w:t>
      </w:r>
      <w:r w:rsidR="003E1003" w:rsidRPr="00EC3120">
        <w:rPr>
          <w:lang w:val="en-US"/>
        </w:rPr>
        <w:t xml:space="preserve"> </w:t>
      </w:r>
      <w:r w:rsidRPr="00EC3120">
        <w:rPr>
          <w:rFonts w:cs="Helvetica"/>
          <w:lang w:val="en-US"/>
        </w:rPr>
        <w:t xml:space="preserve">for the reduction of </w:t>
      </w:r>
      <w:r w:rsidR="00AD7C44" w:rsidRPr="00EC3120">
        <w:rPr>
          <w:rFonts w:cs="Helvetica"/>
          <w:lang w:val="en-US"/>
        </w:rPr>
        <w:t xml:space="preserve">Required Revenue </w:t>
      </w:r>
      <w:r w:rsidR="006D2F60" w:rsidRPr="00EC3120">
        <w:rPr>
          <w:rFonts w:cs="Helvetica"/>
          <w:lang w:val="en-US"/>
        </w:rPr>
        <w:t>and Transmission Tariffs</w:t>
      </w:r>
      <w:r w:rsidR="0060384A" w:rsidRPr="00EC3120">
        <w:rPr>
          <w:rFonts w:cs="Helvetica"/>
          <w:lang w:val="en-US"/>
        </w:rPr>
        <w:t>.</w:t>
      </w:r>
    </w:p>
    <w:p w14:paraId="47BE2AFD" w14:textId="63B07CBE" w:rsidR="00F12883" w:rsidRPr="00522E99" w:rsidRDefault="00F12883" w:rsidP="00760D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Helvetica"/>
          <w:highlight w:val="yellow"/>
          <w:lang w:val="en-US"/>
        </w:rPr>
      </w:pPr>
    </w:p>
    <w:sectPr w:rsidR="00F12883" w:rsidRPr="00522E99" w:rsidSect="00902B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701" w:right="1644" w:bottom="1701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2613" w14:textId="77777777" w:rsidR="00CA2565" w:rsidRDefault="00CA2565">
      <w:r>
        <w:separator/>
      </w:r>
    </w:p>
  </w:endnote>
  <w:endnote w:type="continuationSeparator" w:id="0">
    <w:p w14:paraId="395EFB44" w14:textId="77777777" w:rsidR="00CA2565" w:rsidRDefault="00C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Garamond"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7C3" w14:textId="77777777" w:rsidR="00602588" w:rsidRDefault="00602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653578"/>
      <w:docPartObj>
        <w:docPartGallery w:val="Page Numbers (Bottom of Page)"/>
        <w:docPartUnique/>
      </w:docPartObj>
    </w:sdtPr>
    <w:sdtContent>
      <w:p w14:paraId="1A08EF9D" w14:textId="3937F562" w:rsidR="00403C61" w:rsidRDefault="00403C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63" w:rsidRPr="008A1063">
          <w:rPr>
            <w:noProof/>
            <w:lang w:val="el-GR"/>
          </w:rPr>
          <w:t>4</w:t>
        </w:r>
        <w:r>
          <w:fldChar w:fldCharType="end"/>
        </w:r>
      </w:p>
    </w:sdtContent>
  </w:sdt>
  <w:p w14:paraId="2B005521" w14:textId="77777777" w:rsidR="00403C61" w:rsidRDefault="00403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0BFF" w14:textId="77777777" w:rsidR="00602588" w:rsidRDefault="0060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C2EB" w14:textId="77777777" w:rsidR="00CA2565" w:rsidRDefault="00CA2565">
      <w:r>
        <w:separator/>
      </w:r>
    </w:p>
  </w:footnote>
  <w:footnote w:type="continuationSeparator" w:id="0">
    <w:p w14:paraId="189ED0F5" w14:textId="77777777" w:rsidR="00CA2565" w:rsidRDefault="00CA2565">
      <w:r>
        <w:continuationSeparator/>
      </w:r>
    </w:p>
  </w:footnote>
  <w:footnote w:id="1">
    <w:p w14:paraId="1BC90BA6" w14:textId="47F4588D" w:rsidR="009872A3" w:rsidRPr="00FD1BCB" w:rsidRDefault="009872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E1C78">
          <w:rPr>
            <w:rStyle w:val="Hyperlink"/>
          </w:rPr>
          <w:t>http://www.jao.eu/main</w:t>
        </w:r>
      </w:hyperlink>
    </w:p>
  </w:footnote>
  <w:footnote w:id="2">
    <w:p w14:paraId="235FA1EB" w14:textId="175237A3" w:rsidR="00E86DB5" w:rsidRPr="0089156E" w:rsidRDefault="00E86D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http://www.seecao.com/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E6D0" w14:textId="77777777" w:rsidR="00602588" w:rsidRDefault="00602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391B" w14:textId="77777777" w:rsidR="00602588" w:rsidRDefault="00602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01D2" w14:textId="77777777" w:rsidR="00602588" w:rsidRDefault="0060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odyTextNumb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16FBA"/>
    <w:multiLevelType w:val="hybridMultilevel"/>
    <w:tmpl w:val="101E9F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57D"/>
    <w:multiLevelType w:val="hybridMultilevel"/>
    <w:tmpl w:val="4B6AAD4E"/>
    <w:lvl w:ilvl="0" w:tplc="1EFC293E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42F"/>
    <w:multiLevelType w:val="hybridMultilevel"/>
    <w:tmpl w:val="4E22D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5125C"/>
    <w:multiLevelType w:val="hybridMultilevel"/>
    <w:tmpl w:val="45729C00"/>
    <w:lvl w:ilvl="0" w:tplc="040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5F2"/>
    <w:multiLevelType w:val="hybridMultilevel"/>
    <w:tmpl w:val="0A6E6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090"/>
    <w:multiLevelType w:val="hybridMultilevel"/>
    <w:tmpl w:val="C29A0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3E1C"/>
    <w:multiLevelType w:val="hybridMultilevel"/>
    <w:tmpl w:val="DEA279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659F"/>
    <w:multiLevelType w:val="hybridMultilevel"/>
    <w:tmpl w:val="AA6C80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763F8"/>
    <w:multiLevelType w:val="hybridMultilevel"/>
    <w:tmpl w:val="09A2EA4C"/>
    <w:lvl w:ilvl="0" w:tplc="040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C48F5"/>
    <w:multiLevelType w:val="hybridMultilevel"/>
    <w:tmpl w:val="5D60C2E8"/>
    <w:lvl w:ilvl="0" w:tplc="B35AF0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A76D8"/>
    <w:multiLevelType w:val="hybridMultilevel"/>
    <w:tmpl w:val="239C600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8956F8"/>
    <w:multiLevelType w:val="hybridMultilevel"/>
    <w:tmpl w:val="A574EEC2"/>
    <w:lvl w:ilvl="0" w:tplc="848A46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24CE5"/>
    <w:multiLevelType w:val="hybridMultilevel"/>
    <w:tmpl w:val="0960EFE0"/>
    <w:lvl w:ilvl="0" w:tplc="9EC211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366C6"/>
    <w:multiLevelType w:val="hybridMultilevel"/>
    <w:tmpl w:val="400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653556">
    <w:abstractNumId w:val="0"/>
  </w:num>
  <w:num w:numId="2" w16cid:durableId="428817060">
    <w:abstractNumId w:val="1"/>
  </w:num>
  <w:num w:numId="3" w16cid:durableId="892887676">
    <w:abstractNumId w:val="2"/>
  </w:num>
  <w:num w:numId="4" w16cid:durableId="628626465">
    <w:abstractNumId w:val="1"/>
  </w:num>
  <w:num w:numId="5" w16cid:durableId="902178741">
    <w:abstractNumId w:val="1"/>
  </w:num>
  <w:num w:numId="6" w16cid:durableId="173303511">
    <w:abstractNumId w:val="5"/>
  </w:num>
  <w:num w:numId="7" w16cid:durableId="1119034111">
    <w:abstractNumId w:val="3"/>
  </w:num>
  <w:num w:numId="8" w16cid:durableId="1699965047">
    <w:abstractNumId w:val="16"/>
  </w:num>
  <w:num w:numId="9" w16cid:durableId="1766072673">
    <w:abstractNumId w:val="8"/>
  </w:num>
  <w:num w:numId="10" w16cid:durableId="1022902028">
    <w:abstractNumId w:val="13"/>
  </w:num>
  <w:num w:numId="11" w16cid:durableId="2075616549">
    <w:abstractNumId w:val="10"/>
  </w:num>
  <w:num w:numId="12" w16cid:durableId="2101826672">
    <w:abstractNumId w:val="9"/>
  </w:num>
  <w:num w:numId="13" w16cid:durableId="1959292170">
    <w:abstractNumId w:val="4"/>
  </w:num>
  <w:num w:numId="14" w16cid:durableId="1577549005">
    <w:abstractNumId w:val="6"/>
  </w:num>
  <w:num w:numId="15" w16cid:durableId="1983805146">
    <w:abstractNumId w:val="15"/>
  </w:num>
  <w:num w:numId="16" w16cid:durableId="853423041">
    <w:abstractNumId w:val="12"/>
  </w:num>
  <w:num w:numId="17" w16cid:durableId="1608997482">
    <w:abstractNumId w:val="11"/>
  </w:num>
  <w:num w:numId="18" w16cid:durableId="885682083">
    <w:abstractNumId w:val="7"/>
  </w:num>
  <w:num w:numId="19" w16cid:durableId="11780352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28"/>
    <w:rsid w:val="0000187A"/>
    <w:rsid w:val="00012AA4"/>
    <w:rsid w:val="00013F77"/>
    <w:rsid w:val="00015AFA"/>
    <w:rsid w:val="000232D2"/>
    <w:rsid w:val="00025149"/>
    <w:rsid w:val="000336D7"/>
    <w:rsid w:val="00035B6C"/>
    <w:rsid w:val="0003609D"/>
    <w:rsid w:val="00036755"/>
    <w:rsid w:val="00040D24"/>
    <w:rsid w:val="00042E57"/>
    <w:rsid w:val="00054A6F"/>
    <w:rsid w:val="00057E9E"/>
    <w:rsid w:val="00057EDA"/>
    <w:rsid w:val="00060A79"/>
    <w:rsid w:val="00060E01"/>
    <w:rsid w:val="00061302"/>
    <w:rsid w:val="000622AC"/>
    <w:rsid w:val="0006511D"/>
    <w:rsid w:val="00067D40"/>
    <w:rsid w:val="00085AD0"/>
    <w:rsid w:val="00087D2F"/>
    <w:rsid w:val="000A0D28"/>
    <w:rsid w:val="000A496F"/>
    <w:rsid w:val="000B3B1A"/>
    <w:rsid w:val="000B5AFF"/>
    <w:rsid w:val="000C4B06"/>
    <w:rsid w:val="000C65CC"/>
    <w:rsid w:val="000C7726"/>
    <w:rsid w:val="000D0337"/>
    <w:rsid w:val="000D0BA3"/>
    <w:rsid w:val="000D19D9"/>
    <w:rsid w:val="000D4BA6"/>
    <w:rsid w:val="000D66BF"/>
    <w:rsid w:val="000D6BE2"/>
    <w:rsid w:val="000D6D38"/>
    <w:rsid w:val="000E232F"/>
    <w:rsid w:val="000E7E7A"/>
    <w:rsid w:val="000F3549"/>
    <w:rsid w:val="000F4DEF"/>
    <w:rsid w:val="00104A00"/>
    <w:rsid w:val="00110508"/>
    <w:rsid w:val="00120983"/>
    <w:rsid w:val="0013681D"/>
    <w:rsid w:val="00137547"/>
    <w:rsid w:val="00141308"/>
    <w:rsid w:val="00141E2D"/>
    <w:rsid w:val="00144932"/>
    <w:rsid w:val="00145C3D"/>
    <w:rsid w:val="00150539"/>
    <w:rsid w:val="00171062"/>
    <w:rsid w:val="00171851"/>
    <w:rsid w:val="00172092"/>
    <w:rsid w:val="00176BAE"/>
    <w:rsid w:val="00176EFC"/>
    <w:rsid w:val="0018747A"/>
    <w:rsid w:val="00187D16"/>
    <w:rsid w:val="001914C3"/>
    <w:rsid w:val="00195FB6"/>
    <w:rsid w:val="0019657E"/>
    <w:rsid w:val="00197C4A"/>
    <w:rsid w:val="001A6184"/>
    <w:rsid w:val="001A6391"/>
    <w:rsid w:val="001B1E6B"/>
    <w:rsid w:val="001B40BC"/>
    <w:rsid w:val="001C0D2D"/>
    <w:rsid w:val="001C2E98"/>
    <w:rsid w:val="001C5E3C"/>
    <w:rsid w:val="001C6C5D"/>
    <w:rsid w:val="001D095F"/>
    <w:rsid w:val="001D1C27"/>
    <w:rsid w:val="001D1E7E"/>
    <w:rsid w:val="001D3170"/>
    <w:rsid w:val="001D7D37"/>
    <w:rsid w:val="001E6E15"/>
    <w:rsid w:val="001F449B"/>
    <w:rsid w:val="001F5AB5"/>
    <w:rsid w:val="002024DA"/>
    <w:rsid w:val="00206C3C"/>
    <w:rsid w:val="0021301A"/>
    <w:rsid w:val="00213EDD"/>
    <w:rsid w:val="002149EE"/>
    <w:rsid w:val="00221B30"/>
    <w:rsid w:val="002259FF"/>
    <w:rsid w:val="0022604E"/>
    <w:rsid w:val="002328F8"/>
    <w:rsid w:val="00235477"/>
    <w:rsid w:val="00241BF7"/>
    <w:rsid w:val="00245C6C"/>
    <w:rsid w:val="0024662B"/>
    <w:rsid w:val="002477E1"/>
    <w:rsid w:val="00251BFD"/>
    <w:rsid w:val="00252530"/>
    <w:rsid w:val="002540AE"/>
    <w:rsid w:val="00255A22"/>
    <w:rsid w:val="00261AB4"/>
    <w:rsid w:val="002674B6"/>
    <w:rsid w:val="00267DE1"/>
    <w:rsid w:val="00272E6E"/>
    <w:rsid w:val="002821E1"/>
    <w:rsid w:val="002838B4"/>
    <w:rsid w:val="00290FA0"/>
    <w:rsid w:val="00296221"/>
    <w:rsid w:val="00296D57"/>
    <w:rsid w:val="002A23B6"/>
    <w:rsid w:val="002A3838"/>
    <w:rsid w:val="002B3016"/>
    <w:rsid w:val="002B6477"/>
    <w:rsid w:val="002B7432"/>
    <w:rsid w:val="002C042E"/>
    <w:rsid w:val="002C15A7"/>
    <w:rsid w:val="002C33CA"/>
    <w:rsid w:val="002C62D6"/>
    <w:rsid w:val="002C6D87"/>
    <w:rsid w:val="002D6886"/>
    <w:rsid w:val="002D7F4E"/>
    <w:rsid w:val="002E1055"/>
    <w:rsid w:val="002E46D2"/>
    <w:rsid w:val="002E4BB0"/>
    <w:rsid w:val="002E5052"/>
    <w:rsid w:val="002E5A7B"/>
    <w:rsid w:val="002E5BBF"/>
    <w:rsid w:val="002F49CF"/>
    <w:rsid w:val="00302E67"/>
    <w:rsid w:val="00304178"/>
    <w:rsid w:val="00305BB9"/>
    <w:rsid w:val="003128C7"/>
    <w:rsid w:val="00314448"/>
    <w:rsid w:val="00315CA7"/>
    <w:rsid w:val="00322C92"/>
    <w:rsid w:val="003316D5"/>
    <w:rsid w:val="00333596"/>
    <w:rsid w:val="00335E45"/>
    <w:rsid w:val="00344029"/>
    <w:rsid w:val="003614C5"/>
    <w:rsid w:val="00361E5A"/>
    <w:rsid w:val="003758F2"/>
    <w:rsid w:val="0037767D"/>
    <w:rsid w:val="0038103B"/>
    <w:rsid w:val="0038237D"/>
    <w:rsid w:val="00383A5C"/>
    <w:rsid w:val="003846D3"/>
    <w:rsid w:val="00385E75"/>
    <w:rsid w:val="00390601"/>
    <w:rsid w:val="0039199C"/>
    <w:rsid w:val="003A108D"/>
    <w:rsid w:val="003A16D4"/>
    <w:rsid w:val="003C086B"/>
    <w:rsid w:val="003C3CBB"/>
    <w:rsid w:val="003C6FF1"/>
    <w:rsid w:val="003C79FC"/>
    <w:rsid w:val="003D73C3"/>
    <w:rsid w:val="003E1003"/>
    <w:rsid w:val="003E2FD8"/>
    <w:rsid w:val="00403C61"/>
    <w:rsid w:val="004159CD"/>
    <w:rsid w:val="004209EE"/>
    <w:rsid w:val="004419F6"/>
    <w:rsid w:val="00451DB3"/>
    <w:rsid w:val="0045420F"/>
    <w:rsid w:val="00456FB2"/>
    <w:rsid w:val="004637FE"/>
    <w:rsid w:val="00464FA9"/>
    <w:rsid w:val="00465136"/>
    <w:rsid w:val="00466A4F"/>
    <w:rsid w:val="00473C2D"/>
    <w:rsid w:val="00481F1F"/>
    <w:rsid w:val="00485B3B"/>
    <w:rsid w:val="00493BA3"/>
    <w:rsid w:val="00497617"/>
    <w:rsid w:val="004A3A51"/>
    <w:rsid w:val="004A4647"/>
    <w:rsid w:val="004A653A"/>
    <w:rsid w:val="004B1413"/>
    <w:rsid w:val="004B3444"/>
    <w:rsid w:val="004B6089"/>
    <w:rsid w:val="004C761E"/>
    <w:rsid w:val="004D2662"/>
    <w:rsid w:val="004D2DF2"/>
    <w:rsid w:val="004D620E"/>
    <w:rsid w:val="004E0613"/>
    <w:rsid w:val="004E23F6"/>
    <w:rsid w:val="004E5E63"/>
    <w:rsid w:val="004F2167"/>
    <w:rsid w:val="004F5964"/>
    <w:rsid w:val="00504B53"/>
    <w:rsid w:val="0050556A"/>
    <w:rsid w:val="00510588"/>
    <w:rsid w:val="005160BD"/>
    <w:rsid w:val="00522E99"/>
    <w:rsid w:val="00523B1B"/>
    <w:rsid w:val="005245E3"/>
    <w:rsid w:val="00543820"/>
    <w:rsid w:val="00547873"/>
    <w:rsid w:val="00550806"/>
    <w:rsid w:val="0056412E"/>
    <w:rsid w:val="00565E49"/>
    <w:rsid w:val="005764AF"/>
    <w:rsid w:val="005840B7"/>
    <w:rsid w:val="0058474D"/>
    <w:rsid w:val="00590F25"/>
    <w:rsid w:val="005917A2"/>
    <w:rsid w:val="005A2263"/>
    <w:rsid w:val="005A3F7A"/>
    <w:rsid w:val="005C6613"/>
    <w:rsid w:val="005D1690"/>
    <w:rsid w:val="005E398C"/>
    <w:rsid w:val="005E6146"/>
    <w:rsid w:val="005E77EA"/>
    <w:rsid w:val="005F16CA"/>
    <w:rsid w:val="005F77AD"/>
    <w:rsid w:val="00602588"/>
    <w:rsid w:val="0060299C"/>
    <w:rsid w:val="0060384A"/>
    <w:rsid w:val="00613388"/>
    <w:rsid w:val="006145B7"/>
    <w:rsid w:val="006157D5"/>
    <w:rsid w:val="006176AA"/>
    <w:rsid w:val="006210C3"/>
    <w:rsid w:val="00635971"/>
    <w:rsid w:val="0064059C"/>
    <w:rsid w:val="00640AE8"/>
    <w:rsid w:val="00645ECB"/>
    <w:rsid w:val="00645F8E"/>
    <w:rsid w:val="00654AE4"/>
    <w:rsid w:val="00663C27"/>
    <w:rsid w:val="00673433"/>
    <w:rsid w:val="00676606"/>
    <w:rsid w:val="00680867"/>
    <w:rsid w:val="00680BA7"/>
    <w:rsid w:val="00685356"/>
    <w:rsid w:val="006946E0"/>
    <w:rsid w:val="006A6C25"/>
    <w:rsid w:val="006B108A"/>
    <w:rsid w:val="006D0099"/>
    <w:rsid w:val="006D0166"/>
    <w:rsid w:val="006D2F60"/>
    <w:rsid w:val="006D5805"/>
    <w:rsid w:val="006E49A2"/>
    <w:rsid w:val="006F48B9"/>
    <w:rsid w:val="006F5228"/>
    <w:rsid w:val="006F63AF"/>
    <w:rsid w:val="007017AE"/>
    <w:rsid w:val="00710445"/>
    <w:rsid w:val="00717BBD"/>
    <w:rsid w:val="00721F96"/>
    <w:rsid w:val="00725912"/>
    <w:rsid w:val="00730794"/>
    <w:rsid w:val="007318FB"/>
    <w:rsid w:val="00737B44"/>
    <w:rsid w:val="007453F5"/>
    <w:rsid w:val="00747227"/>
    <w:rsid w:val="0075631F"/>
    <w:rsid w:val="00756981"/>
    <w:rsid w:val="00760D90"/>
    <w:rsid w:val="007628AA"/>
    <w:rsid w:val="0076566D"/>
    <w:rsid w:val="00780DBF"/>
    <w:rsid w:val="007865C1"/>
    <w:rsid w:val="00787FE1"/>
    <w:rsid w:val="007902AC"/>
    <w:rsid w:val="00791C8B"/>
    <w:rsid w:val="007946DD"/>
    <w:rsid w:val="0079653B"/>
    <w:rsid w:val="007B1660"/>
    <w:rsid w:val="007B7321"/>
    <w:rsid w:val="007C3507"/>
    <w:rsid w:val="007C4401"/>
    <w:rsid w:val="007C4D8E"/>
    <w:rsid w:val="007D0AA9"/>
    <w:rsid w:val="007E40A0"/>
    <w:rsid w:val="007F4954"/>
    <w:rsid w:val="007F6402"/>
    <w:rsid w:val="00802D93"/>
    <w:rsid w:val="00816BE4"/>
    <w:rsid w:val="00817681"/>
    <w:rsid w:val="00822DF2"/>
    <w:rsid w:val="00831A29"/>
    <w:rsid w:val="00834A02"/>
    <w:rsid w:val="00835466"/>
    <w:rsid w:val="008401B4"/>
    <w:rsid w:val="00840739"/>
    <w:rsid w:val="00841623"/>
    <w:rsid w:val="00842915"/>
    <w:rsid w:val="00843E4C"/>
    <w:rsid w:val="008528CE"/>
    <w:rsid w:val="00853E3D"/>
    <w:rsid w:val="00871FB0"/>
    <w:rsid w:val="00872F43"/>
    <w:rsid w:val="00873298"/>
    <w:rsid w:val="008852AF"/>
    <w:rsid w:val="00886BEB"/>
    <w:rsid w:val="0089156E"/>
    <w:rsid w:val="008A1063"/>
    <w:rsid w:val="008A1352"/>
    <w:rsid w:val="008A18F3"/>
    <w:rsid w:val="008A3957"/>
    <w:rsid w:val="008A579E"/>
    <w:rsid w:val="008B1417"/>
    <w:rsid w:val="008B14BA"/>
    <w:rsid w:val="008B3CD0"/>
    <w:rsid w:val="008B7CE6"/>
    <w:rsid w:val="008C58FC"/>
    <w:rsid w:val="008D7616"/>
    <w:rsid w:val="008D7D11"/>
    <w:rsid w:val="008E23D3"/>
    <w:rsid w:val="008E3E29"/>
    <w:rsid w:val="008E4D16"/>
    <w:rsid w:val="008E6FD7"/>
    <w:rsid w:val="008E787B"/>
    <w:rsid w:val="008F474A"/>
    <w:rsid w:val="00902B2E"/>
    <w:rsid w:val="00907880"/>
    <w:rsid w:val="00913ED6"/>
    <w:rsid w:val="009141F4"/>
    <w:rsid w:val="00914811"/>
    <w:rsid w:val="00917AC3"/>
    <w:rsid w:val="0092499C"/>
    <w:rsid w:val="00932724"/>
    <w:rsid w:val="009335D3"/>
    <w:rsid w:val="00934338"/>
    <w:rsid w:val="00943FDC"/>
    <w:rsid w:val="009479DB"/>
    <w:rsid w:val="00956C6D"/>
    <w:rsid w:val="00956FC8"/>
    <w:rsid w:val="00963B91"/>
    <w:rsid w:val="00965531"/>
    <w:rsid w:val="0097504B"/>
    <w:rsid w:val="0098006B"/>
    <w:rsid w:val="009818AB"/>
    <w:rsid w:val="00981C80"/>
    <w:rsid w:val="0098334A"/>
    <w:rsid w:val="00983ECA"/>
    <w:rsid w:val="009872A3"/>
    <w:rsid w:val="009A41D8"/>
    <w:rsid w:val="009A47A0"/>
    <w:rsid w:val="009A5A26"/>
    <w:rsid w:val="009B7448"/>
    <w:rsid w:val="009C5EE7"/>
    <w:rsid w:val="009D0EDB"/>
    <w:rsid w:val="009E3DE9"/>
    <w:rsid w:val="009E539E"/>
    <w:rsid w:val="009F4B92"/>
    <w:rsid w:val="009F6D71"/>
    <w:rsid w:val="009F7032"/>
    <w:rsid w:val="00A03A3C"/>
    <w:rsid w:val="00A06B4D"/>
    <w:rsid w:val="00A1048C"/>
    <w:rsid w:val="00A147AD"/>
    <w:rsid w:val="00A2147C"/>
    <w:rsid w:val="00A2263E"/>
    <w:rsid w:val="00A47662"/>
    <w:rsid w:val="00A51E16"/>
    <w:rsid w:val="00A57C09"/>
    <w:rsid w:val="00A6310E"/>
    <w:rsid w:val="00A76964"/>
    <w:rsid w:val="00A7709F"/>
    <w:rsid w:val="00A84DD0"/>
    <w:rsid w:val="00A85CD3"/>
    <w:rsid w:val="00A8672A"/>
    <w:rsid w:val="00A936AD"/>
    <w:rsid w:val="00A97235"/>
    <w:rsid w:val="00AA446D"/>
    <w:rsid w:val="00AB7636"/>
    <w:rsid w:val="00AC183B"/>
    <w:rsid w:val="00AC403A"/>
    <w:rsid w:val="00AD7C44"/>
    <w:rsid w:val="00AE12E2"/>
    <w:rsid w:val="00AF168D"/>
    <w:rsid w:val="00AF6426"/>
    <w:rsid w:val="00B06F8D"/>
    <w:rsid w:val="00B204FB"/>
    <w:rsid w:val="00B346E0"/>
    <w:rsid w:val="00B4715F"/>
    <w:rsid w:val="00B51077"/>
    <w:rsid w:val="00B55110"/>
    <w:rsid w:val="00B747F9"/>
    <w:rsid w:val="00B762DE"/>
    <w:rsid w:val="00B84ECB"/>
    <w:rsid w:val="00B92281"/>
    <w:rsid w:val="00B93B07"/>
    <w:rsid w:val="00B970A6"/>
    <w:rsid w:val="00B97F45"/>
    <w:rsid w:val="00BA0E6A"/>
    <w:rsid w:val="00BA2537"/>
    <w:rsid w:val="00BC4A66"/>
    <w:rsid w:val="00BE1615"/>
    <w:rsid w:val="00BE2382"/>
    <w:rsid w:val="00BE424C"/>
    <w:rsid w:val="00C046BD"/>
    <w:rsid w:val="00C063A5"/>
    <w:rsid w:val="00C113E3"/>
    <w:rsid w:val="00C1711C"/>
    <w:rsid w:val="00C2647A"/>
    <w:rsid w:val="00C35484"/>
    <w:rsid w:val="00C439B5"/>
    <w:rsid w:val="00C46554"/>
    <w:rsid w:val="00C539C5"/>
    <w:rsid w:val="00C57038"/>
    <w:rsid w:val="00C608EB"/>
    <w:rsid w:val="00C72C7B"/>
    <w:rsid w:val="00C80105"/>
    <w:rsid w:val="00C87C54"/>
    <w:rsid w:val="00C922CC"/>
    <w:rsid w:val="00C939C1"/>
    <w:rsid w:val="00C96EFB"/>
    <w:rsid w:val="00CA1B42"/>
    <w:rsid w:val="00CA2565"/>
    <w:rsid w:val="00CA760A"/>
    <w:rsid w:val="00CA7B69"/>
    <w:rsid w:val="00CB19B5"/>
    <w:rsid w:val="00CB3662"/>
    <w:rsid w:val="00CB7863"/>
    <w:rsid w:val="00CC0E3B"/>
    <w:rsid w:val="00CC1E7E"/>
    <w:rsid w:val="00CC2D19"/>
    <w:rsid w:val="00CD267B"/>
    <w:rsid w:val="00CD6379"/>
    <w:rsid w:val="00CD6B29"/>
    <w:rsid w:val="00CD719B"/>
    <w:rsid w:val="00CE1C78"/>
    <w:rsid w:val="00CE3DA6"/>
    <w:rsid w:val="00CE4630"/>
    <w:rsid w:val="00D01F54"/>
    <w:rsid w:val="00D022AC"/>
    <w:rsid w:val="00D05D20"/>
    <w:rsid w:val="00D062D8"/>
    <w:rsid w:val="00D07AF5"/>
    <w:rsid w:val="00D11C2C"/>
    <w:rsid w:val="00D20291"/>
    <w:rsid w:val="00D23454"/>
    <w:rsid w:val="00D236CB"/>
    <w:rsid w:val="00D24F1D"/>
    <w:rsid w:val="00D329FF"/>
    <w:rsid w:val="00D32DBA"/>
    <w:rsid w:val="00D33CF3"/>
    <w:rsid w:val="00D43978"/>
    <w:rsid w:val="00D5081A"/>
    <w:rsid w:val="00D51AA4"/>
    <w:rsid w:val="00D53416"/>
    <w:rsid w:val="00D54817"/>
    <w:rsid w:val="00D56778"/>
    <w:rsid w:val="00D72CD5"/>
    <w:rsid w:val="00D759C7"/>
    <w:rsid w:val="00D77490"/>
    <w:rsid w:val="00D77D45"/>
    <w:rsid w:val="00D80D15"/>
    <w:rsid w:val="00D81DC3"/>
    <w:rsid w:val="00DA2A9D"/>
    <w:rsid w:val="00DA47D0"/>
    <w:rsid w:val="00DA6AD2"/>
    <w:rsid w:val="00DB3D07"/>
    <w:rsid w:val="00DB47B8"/>
    <w:rsid w:val="00DB615C"/>
    <w:rsid w:val="00DC2D5A"/>
    <w:rsid w:val="00DD04B8"/>
    <w:rsid w:val="00DF42E6"/>
    <w:rsid w:val="00DF6C0F"/>
    <w:rsid w:val="00E0090E"/>
    <w:rsid w:val="00E04B78"/>
    <w:rsid w:val="00E0532D"/>
    <w:rsid w:val="00E12766"/>
    <w:rsid w:val="00E12FD3"/>
    <w:rsid w:val="00E20E46"/>
    <w:rsid w:val="00E24EE2"/>
    <w:rsid w:val="00E27C30"/>
    <w:rsid w:val="00E31EE6"/>
    <w:rsid w:val="00E42DFF"/>
    <w:rsid w:val="00E600C2"/>
    <w:rsid w:val="00E61458"/>
    <w:rsid w:val="00E72C5E"/>
    <w:rsid w:val="00E74219"/>
    <w:rsid w:val="00E74881"/>
    <w:rsid w:val="00E75109"/>
    <w:rsid w:val="00E8500D"/>
    <w:rsid w:val="00E86DB5"/>
    <w:rsid w:val="00EA0F94"/>
    <w:rsid w:val="00EA13CD"/>
    <w:rsid w:val="00EA1B9D"/>
    <w:rsid w:val="00EA2A1A"/>
    <w:rsid w:val="00EB1B08"/>
    <w:rsid w:val="00EB6D85"/>
    <w:rsid w:val="00EC1157"/>
    <w:rsid w:val="00EC1994"/>
    <w:rsid w:val="00EC2079"/>
    <w:rsid w:val="00EC3120"/>
    <w:rsid w:val="00EC351D"/>
    <w:rsid w:val="00EC77FF"/>
    <w:rsid w:val="00EC7C23"/>
    <w:rsid w:val="00ED1B30"/>
    <w:rsid w:val="00EF0FF7"/>
    <w:rsid w:val="00EF15D8"/>
    <w:rsid w:val="00EF230E"/>
    <w:rsid w:val="00F0773E"/>
    <w:rsid w:val="00F107F7"/>
    <w:rsid w:val="00F12883"/>
    <w:rsid w:val="00F14FC1"/>
    <w:rsid w:val="00F2031F"/>
    <w:rsid w:val="00F21DAB"/>
    <w:rsid w:val="00F22CED"/>
    <w:rsid w:val="00F240B0"/>
    <w:rsid w:val="00F30221"/>
    <w:rsid w:val="00F34F23"/>
    <w:rsid w:val="00F3708E"/>
    <w:rsid w:val="00F37DAE"/>
    <w:rsid w:val="00F45980"/>
    <w:rsid w:val="00F47251"/>
    <w:rsid w:val="00F549D7"/>
    <w:rsid w:val="00F60003"/>
    <w:rsid w:val="00F71F34"/>
    <w:rsid w:val="00F8639C"/>
    <w:rsid w:val="00F86450"/>
    <w:rsid w:val="00F92106"/>
    <w:rsid w:val="00F94F64"/>
    <w:rsid w:val="00FA5211"/>
    <w:rsid w:val="00FA54BA"/>
    <w:rsid w:val="00FA6DE0"/>
    <w:rsid w:val="00FC3271"/>
    <w:rsid w:val="00FC54C0"/>
    <w:rsid w:val="00FC569B"/>
    <w:rsid w:val="00FC58FD"/>
    <w:rsid w:val="00FD1BCB"/>
    <w:rsid w:val="00FD399F"/>
    <w:rsid w:val="00FD3DC1"/>
    <w:rsid w:val="00FE5B4E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94122F"/>
  <w15:chartTrackingRefBased/>
  <w15:docId w15:val="{A5F2B612-1636-4F86-A872-C969BC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308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l-G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8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Προεπιλεγμένη γραμματοσειρά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Προεπιλεγμένη γραμματοσειρά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Προεπιλεγμένη γραμματοσειρά1"/>
  </w:style>
  <w:style w:type="character" w:styleId="PageNumber">
    <w:name w:val="page number"/>
    <w:basedOn w:val="1"/>
  </w:style>
  <w:style w:type="character" w:customStyle="1" w:styleId="Char">
    <w:name w:val="Char"/>
    <w:rPr>
      <w:rFonts w:ascii="Garamond" w:hAnsi="Garamond"/>
      <w:spacing w:val="-5"/>
      <w:sz w:val="24"/>
      <w:szCs w:val="24"/>
      <w:lang w:val="en-GB" w:eastAsia="ar-SA" w:bidi="ar-SA"/>
    </w:rPr>
  </w:style>
  <w:style w:type="character" w:customStyle="1" w:styleId="ShorttitleleftChar">
    <w:name w:val="Short title left Char"/>
    <w:rPr>
      <w:rFonts w:ascii="Tahoma" w:hAnsi="Tahoma"/>
      <w:b/>
      <w:color w:val="808080"/>
      <w:spacing w:val="-5"/>
      <w:sz w:val="22"/>
      <w:szCs w:val="22"/>
      <w:lang w:val="el-GR" w:eastAsia="ar-SA" w:bidi="ar-SA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10">
    <w:name w:val="Παραπομπή σχολίου1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pacing w:val="-5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11">
    <w:name w:val="Ημερομηνία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BodyText"/>
    <w:next w:val="BodyText"/>
    <w:qFormat/>
    <w:pPr>
      <w:keepNext/>
      <w:keepLines/>
      <w:tabs>
        <w:tab w:val="left" w:pos="720"/>
      </w:tabs>
      <w:spacing w:before="360" w:after="60" w:line="240" w:lineRule="auto"/>
      <w:jc w:val="center"/>
    </w:pPr>
    <w:rPr>
      <w:rFonts w:ascii="Tahoma" w:hAnsi="Tahoma" w:cs="Arial"/>
      <w:b/>
      <w:bCs/>
      <w:color w:val="808080"/>
      <w:kern w:val="1"/>
      <w:sz w:val="26"/>
      <w:szCs w:val="32"/>
      <w:lang w:val="el-GR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Shorttitleleft">
    <w:name w:val="Short title left"/>
    <w:basedOn w:val="BodyText"/>
    <w:next w:val="Normal"/>
    <w:pPr>
      <w:spacing w:before="240" w:after="0" w:line="240" w:lineRule="auto"/>
      <w:jc w:val="left"/>
    </w:pPr>
    <w:rPr>
      <w:rFonts w:ascii="Tahoma" w:hAnsi="Tahoma"/>
      <w:b/>
      <w:color w:val="808080"/>
      <w:sz w:val="22"/>
      <w:szCs w:val="22"/>
      <w:lang w:val="el-GR"/>
    </w:rPr>
  </w:style>
  <w:style w:type="paragraph" w:customStyle="1" w:styleId="BodyTextNumbers">
    <w:name w:val="Body Text Numbers"/>
    <w:basedOn w:val="BodyText"/>
    <w:pPr>
      <w:numPr>
        <w:numId w:val="2"/>
      </w:numPr>
      <w:spacing w:before="120" w:after="120" w:line="240" w:lineRule="auto"/>
    </w:pPr>
    <w:rPr>
      <w:rFonts w:ascii="Times New Roman" w:hAnsi="Times New Roman"/>
      <w:spacing w:val="0"/>
      <w:sz w:val="20"/>
      <w:szCs w:val="20"/>
      <w:lang w:val="el-GR"/>
    </w:rPr>
  </w:style>
  <w:style w:type="paragraph" w:customStyle="1" w:styleId="21">
    <w:name w:val="Σώμα κείμενου 21"/>
    <w:basedOn w:val="Normal"/>
    <w:pPr>
      <w:spacing w:after="120" w:line="480" w:lineRule="auto"/>
    </w:pPr>
    <w:rPr>
      <w:lang w:val="el-GR"/>
    </w:r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</w:pPr>
    <w:rPr>
      <w:rFonts w:ascii="Garamond" w:hAnsi="Garamond"/>
      <w:sz w:val="14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odyTextNumbers2">
    <w:name w:val="Body Text Numbers 2"/>
    <w:basedOn w:val="BodyTextNumbers"/>
    <w:pPr>
      <w:numPr>
        <w:numId w:val="0"/>
      </w:numPr>
      <w:tabs>
        <w:tab w:val="left" w:pos="720"/>
        <w:tab w:val="left" w:pos="1080"/>
      </w:tabs>
      <w:ind w:left="1080" w:hanging="360"/>
    </w:pPr>
    <w:rPr>
      <w:spacing w:val="-5"/>
      <w:sz w:val="22"/>
      <w:szCs w:val="22"/>
    </w:rPr>
  </w:style>
  <w:style w:type="paragraph" w:customStyle="1" w:styleId="Framecontents">
    <w:name w:val="Frame contents"/>
    <w:basedOn w:val="BodyText"/>
  </w:style>
  <w:style w:type="paragraph" w:customStyle="1" w:styleId="CharCharCharCharCharCharCharChar1">
    <w:name w:val="Char Char Char Char Char Char Char Char1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paragraph" w:customStyle="1" w:styleId="12">
    <w:name w:val="Κείμενο σχολίου1"/>
    <w:basedOn w:val="Normal"/>
    <w:rPr>
      <w:sz w:val="20"/>
      <w:szCs w:val="20"/>
    </w:rPr>
  </w:style>
  <w:style w:type="paragraph" w:styleId="CommentSubject">
    <w:name w:val="annotation subject"/>
    <w:basedOn w:val="12"/>
    <w:next w:val="12"/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harChar2">
    <w:name w:val="Char Char2"/>
    <w:basedOn w:val="Normal"/>
    <w:rsid w:val="00A147AD"/>
    <w:pPr>
      <w:tabs>
        <w:tab w:val="left" w:pos="709"/>
      </w:tabs>
      <w:suppressAutoHyphens w:val="0"/>
    </w:pPr>
    <w:rPr>
      <w:lang w:val="pl-PL" w:eastAsia="pl-PL"/>
    </w:rPr>
  </w:style>
  <w:style w:type="paragraph" w:styleId="NormalWeb">
    <w:name w:val="Normal (Web)"/>
    <w:basedOn w:val="Normal"/>
    <w:rsid w:val="00843E4C"/>
    <w:pPr>
      <w:suppressAutoHyphens w:val="0"/>
      <w:spacing w:before="100" w:beforeAutospacing="1" w:after="100" w:afterAutospacing="1"/>
    </w:pPr>
    <w:rPr>
      <w:rFonts w:eastAsia="SimSun"/>
      <w:lang w:val="el-GR" w:eastAsia="zh-CN"/>
    </w:rPr>
  </w:style>
  <w:style w:type="character" w:styleId="Strong">
    <w:name w:val="Strong"/>
    <w:qFormat/>
    <w:rsid w:val="00843E4C"/>
    <w:rPr>
      <w:b/>
      <w:bCs/>
    </w:rPr>
  </w:style>
  <w:style w:type="paragraph" w:customStyle="1" w:styleId="TableContents">
    <w:name w:val="Table Contents"/>
    <w:basedOn w:val="Normal"/>
    <w:rsid w:val="002E4BB0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CharChar1">
    <w:name w:val="Char Char1"/>
    <w:basedOn w:val="Normal"/>
    <w:rsid w:val="00831A29"/>
    <w:pPr>
      <w:tabs>
        <w:tab w:val="left" w:pos="709"/>
      </w:tabs>
      <w:suppressAutoHyphens w:val="0"/>
    </w:pPr>
    <w:rPr>
      <w:lang w:val="pl-PL" w:eastAsia="pl-PL"/>
    </w:rPr>
  </w:style>
  <w:style w:type="paragraph" w:customStyle="1" w:styleId="CharChar2CharCharChar">
    <w:name w:val="Char Char2 Char Char Char"/>
    <w:basedOn w:val="Normal"/>
    <w:rsid w:val="005D1690"/>
    <w:pPr>
      <w:tabs>
        <w:tab w:val="left" w:pos="709"/>
      </w:tabs>
      <w:suppressAutoHyphens w:val="0"/>
    </w:pPr>
    <w:rPr>
      <w:lang w:val="pl-PL" w:eastAsia="pl-PL"/>
    </w:rPr>
  </w:style>
  <w:style w:type="character" w:customStyle="1" w:styleId="Heading1Char">
    <w:name w:val="Heading 1 Char"/>
    <w:link w:val="Heading1"/>
    <w:uiPriority w:val="9"/>
    <w:rsid w:val="0014130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41308"/>
    <w:rPr>
      <w:rFonts w:ascii="Calibri Light" w:hAnsi="Calibri Light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4130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5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E7"/>
    <w:rPr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6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60A"/>
    <w:rPr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A760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03C61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cao.com/" TargetMode="External"/><Relationship Id="rId1" Type="http://schemas.openxmlformats.org/officeDocument/2006/relationships/hyperlink" Target="http://www.jao.eu/mai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yRAE\&#913;&#916;&#924;&#919;&#917;\&#949;&#953;&#963;&#972;&#948;&#951;&#956;&#945;_&#963;&#965;&#956;&#966;&#972;&#961;&#951;&#963;&#951;&#962;\2022\interconnections_capacity_rights_report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yRAE\&#913;&#916;&#924;&#919;&#917;\&#949;&#953;&#963;&#972;&#948;&#951;&#956;&#945;_&#963;&#965;&#956;&#966;&#972;&#961;&#951;&#963;&#951;&#962;\2022\interconnections_capacity_rights_report_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0" baseline="0"/>
              <a:t>Congestion Revenue per Border </a:t>
            </a:r>
            <a:r>
              <a:rPr lang="el-GR" sz="1050" b="0" baseline="0"/>
              <a:t>€</a:t>
            </a:r>
          </a:p>
          <a:p>
            <a:pPr algn="ctr">
              <a:defRPr sz="1050"/>
            </a:pPr>
            <a:r>
              <a:rPr lang="el-GR" sz="1050" b="0" baseline="0"/>
              <a:t>      01/01/2022 - 31/12/2022</a:t>
            </a:r>
            <a:endParaRPr lang="de-DE" sz="105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report_table!$J$46</c:f>
              <c:strCache>
                <c:ptCount val="1"/>
                <c:pt idx="0">
                  <c:v>Imports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report_table!$I$47:$I$51</c:f>
              <c:strCache>
                <c:ptCount val="5"/>
                <c:pt idx="0">
                  <c:v>Italy</c:v>
                </c:pt>
                <c:pt idx="1">
                  <c:v>Boulgaria</c:v>
                </c:pt>
                <c:pt idx="2">
                  <c:v>Albania</c:v>
                </c:pt>
                <c:pt idx="3">
                  <c:v>North Macedonia</c:v>
                </c:pt>
                <c:pt idx="4">
                  <c:v>Turkey</c:v>
                </c:pt>
              </c:strCache>
            </c:strRef>
          </c:cat>
          <c:val>
            <c:numRef>
              <c:f>report_table!$J$47:$J$51</c:f>
              <c:numCache>
                <c:formatCode>_-* #,##0\ _€_-;\-* #,##0\ _€_-;_-* "-"??\ _€_-;_-@_-</c:formatCode>
                <c:ptCount val="5"/>
                <c:pt idx="0">
                  <c:v>15284044.220000001</c:v>
                </c:pt>
                <c:pt idx="1">
                  <c:v>34654419.359999999</c:v>
                </c:pt>
                <c:pt idx="2">
                  <c:v>3855515.8750000005</c:v>
                </c:pt>
                <c:pt idx="3">
                  <c:v>8208461.9100000011</c:v>
                </c:pt>
                <c:pt idx="4">
                  <c:v>15229677.665000005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E-4A0A-8339-5F62FA9433CC}"/>
            </c:ext>
          </c:extLst>
        </c:ser>
        <c:ser>
          <c:idx val="1"/>
          <c:order val="1"/>
          <c:tx>
            <c:strRef>
              <c:f>report_table!$K$46</c:f>
              <c:strCache>
                <c:ptCount val="1"/>
                <c:pt idx="0">
                  <c:v>Exports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report_table!$I$47:$I$51</c:f>
              <c:strCache>
                <c:ptCount val="5"/>
                <c:pt idx="0">
                  <c:v>Italy</c:v>
                </c:pt>
                <c:pt idx="1">
                  <c:v>Boulgaria</c:v>
                </c:pt>
                <c:pt idx="2">
                  <c:v>Albania</c:v>
                </c:pt>
                <c:pt idx="3">
                  <c:v>North Macedonia</c:v>
                </c:pt>
                <c:pt idx="4">
                  <c:v>Turkey</c:v>
                </c:pt>
              </c:strCache>
            </c:strRef>
          </c:cat>
          <c:val>
            <c:numRef>
              <c:f>report_table!$K$47:$K$51</c:f>
              <c:numCache>
                <c:formatCode>_-* #,##0\ _€_-;\-* #,##0\ _€_-;_-* "-"??\ _€_-;_-@_-</c:formatCode>
                <c:ptCount val="5"/>
                <c:pt idx="0">
                  <c:v>21532770.469999999</c:v>
                </c:pt>
                <c:pt idx="1">
                  <c:v>3514746.6550000003</c:v>
                </c:pt>
                <c:pt idx="2">
                  <c:v>3948443.0550000002</c:v>
                </c:pt>
                <c:pt idx="3">
                  <c:v>3309602.6750000003</c:v>
                </c:pt>
                <c:pt idx="4">
                  <c:v>197231.39500000002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FE-4A0A-8339-5F62FA943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1385600"/>
        <c:axId val="1071380672"/>
      </c:barChart>
      <c:catAx>
        <c:axId val="107138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71380672"/>
        <c:crosses val="autoZero"/>
        <c:auto val="1"/>
        <c:lblAlgn val="ctr"/>
        <c:lblOffset val="100"/>
        <c:noMultiLvlLbl val="0"/>
      </c:catAx>
      <c:valAx>
        <c:axId val="107138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€_-;\-* #,##0\ _€_-;_-* &quot;-&quot;??\ _€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7138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Monthly Congestion Revenue per Border and Direction </a:t>
            </a:r>
            <a:r>
              <a:rPr lang="el-GR" sz="1000" b="0" i="0" baseline="0">
                <a:effectLst/>
              </a:rPr>
              <a:t>€</a:t>
            </a:r>
            <a:endParaRPr lang="el-GR" sz="1000">
              <a:effectLst/>
            </a:endParaRPr>
          </a:p>
          <a:p>
            <a:pPr>
              <a:defRPr sz="1000"/>
            </a:pPr>
            <a:r>
              <a:rPr lang="el-GR" sz="1000" b="0" i="0" baseline="0">
                <a:effectLst/>
              </a:rPr>
              <a:t>      01/01/2022 - 31/12/2022</a:t>
            </a:r>
            <a:endParaRPr lang="el-GR" sz="1000">
              <a:effectLst/>
            </a:endParaRPr>
          </a:p>
        </c:rich>
      </c:tx>
      <c:layout>
        <c:manualLayout>
          <c:xMode val="edge"/>
          <c:yMode val="edge"/>
          <c:x val="0.26540260962787776"/>
          <c:y val="3.156249746273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0.10876031638129033"/>
          <c:y val="0.35712606922981266"/>
          <c:w val="0.87254921766954108"/>
          <c:h val="0.574246010566129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report_table!$C$3</c:f>
              <c:strCache>
                <c:ptCount val="1"/>
                <c:pt idx="0">
                  <c:v>IMPORTS FROM ITALY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report_table!$C$4:$C$15</c:f>
              <c:numCache>
                <c:formatCode>_-* #,##0\ _€_-;\-* #,##0\ _€_-;_-* "-"??\ _€_-;_-@_-</c:formatCode>
                <c:ptCount val="12"/>
                <c:pt idx="0">
                  <c:v>1974833.855</c:v>
                </c:pt>
                <c:pt idx="1">
                  <c:v>1376003.18</c:v>
                </c:pt>
                <c:pt idx="2">
                  <c:v>1267982.165</c:v>
                </c:pt>
                <c:pt idx="3">
                  <c:v>1159102.9700000002</c:v>
                </c:pt>
                <c:pt idx="4">
                  <c:v>1282336.4550000003</c:v>
                </c:pt>
                <c:pt idx="5">
                  <c:v>336586.15</c:v>
                </c:pt>
                <c:pt idx="6">
                  <c:v>1151782</c:v>
                </c:pt>
                <c:pt idx="7">
                  <c:v>-57.579999999972642</c:v>
                </c:pt>
                <c:pt idx="8">
                  <c:v>-6.9950000000171713</c:v>
                </c:pt>
                <c:pt idx="9">
                  <c:v>1244302.1799999997</c:v>
                </c:pt>
                <c:pt idx="10">
                  <c:v>2545269.7799999998</c:v>
                </c:pt>
                <c:pt idx="11">
                  <c:v>2945910.06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68-4D17-B56E-A211F4F9EC7A}"/>
            </c:ext>
          </c:extLst>
        </c:ser>
        <c:ser>
          <c:idx val="1"/>
          <c:order val="1"/>
          <c:tx>
            <c:strRef>
              <c:f>report_table!$D$3</c:f>
              <c:strCache>
                <c:ptCount val="1"/>
                <c:pt idx="0">
                  <c:v>EXPORTS TO ITALY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report_table!$D$4:$D$15</c:f>
              <c:numCache>
                <c:formatCode>_-* #,##0\ _€_-;\-* #,##0\ _€_-;_-* "-"??\ _€_-;_-@_-</c:formatCode>
                <c:ptCount val="12"/>
                <c:pt idx="0">
                  <c:v>1758652.2</c:v>
                </c:pt>
                <c:pt idx="1">
                  <c:v>1411662.655</c:v>
                </c:pt>
                <c:pt idx="2">
                  <c:v>38.695000000006985</c:v>
                </c:pt>
                <c:pt idx="3">
                  <c:v>1767241.6950000003</c:v>
                </c:pt>
                <c:pt idx="4">
                  <c:v>1295332.53</c:v>
                </c:pt>
                <c:pt idx="5">
                  <c:v>534296.71</c:v>
                </c:pt>
                <c:pt idx="6">
                  <c:v>1398662.1150000002</c:v>
                </c:pt>
                <c:pt idx="7">
                  <c:v>-113660.4300000004</c:v>
                </c:pt>
                <c:pt idx="8">
                  <c:v>4007839.8049999997</c:v>
                </c:pt>
                <c:pt idx="9">
                  <c:v>4241209.3550000004</c:v>
                </c:pt>
                <c:pt idx="10">
                  <c:v>2913189.1749999998</c:v>
                </c:pt>
                <c:pt idx="11">
                  <c:v>2318305.9649999999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68-4D17-B56E-A211F4F9EC7A}"/>
            </c:ext>
          </c:extLst>
        </c:ser>
        <c:ser>
          <c:idx val="2"/>
          <c:order val="2"/>
          <c:tx>
            <c:strRef>
              <c:f>report_table!$E$3</c:f>
              <c:strCache>
                <c:ptCount val="1"/>
                <c:pt idx="0">
                  <c:v>IMPORTS FROM BULGARIA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report_table!$E$4:$E$15</c:f>
              <c:numCache>
                <c:formatCode>_-* #,##0\ _€_-;\-* #,##0\ _€_-;_-* "-"??\ _€_-;_-@_-</c:formatCode>
                <c:ptCount val="12"/>
                <c:pt idx="0">
                  <c:v>1970950.5199999996</c:v>
                </c:pt>
                <c:pt idx="1">
                  <c:v>2385960.4849999994</c:v>
                </c:pt>
                <c:pt idx="2">
                  <c:v>1742369.8000000007</c:v>
                </c:pt>
                <c:pt idx="3">
                  <c:v>1629798.82</c:v>
                </c:pt>
                <c:pt idx="4">
                  <c:v>2771416.4699999997</c:v>
                </c:pt>
                <c:pt idx="5">
                  <c:v>2762344.835</c:v>
                </c:pt>
                <c:pt idx="6">
                  <c:v>3271450.5350000001</c:v>
                </c:pt>
                <c:pt idx="7">
                  <c:v>3684712.82</c:v>
                </c:pt>
                <c:pt idx="8">
                  <c:v>2997428.9000000004</c:v>
                </c:pt>
                <c:pt idx="9">
                  <c:v>3013351.5799999973</c:v>
                </c:pt>
                <c:pt idx="10">
                  <c:v>4199724.665</c:v>
                </c:pt>
                <c:pt idx="11">
                  <c:v>4224909.93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68-4D17-B56E-A211F4F9EC7A}"/>
            </c:ext>
          </c:extLst>
        </c:ser>
        <c:ser>
          <c:idx val="3"/>
          <c:order val="3"/>
          <c:tx>
            <c:strRef>
              <c:f>report_table!$F$3</c:f>
              <c:strCache>
                <c:ptCount val="1"/>
                <c:pt idx="0">
                  <c:v>EXPORTS TO BULGARIA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report_table!$F$4:$F$15</c:f>
              <c:numCache>
                <c:formatCode>_-* #,##0\ _€_-;\-* #,##0\ _€_-;_-* "-"??\ _€_-;_-@_-</c:formatCode>
                <c:ptCount val="12"/>
                <c:pt idx="0">
                  <c:v>443828.33999999997</c:v>
                </c:pt>
                <c:pt idx="1">
                  <c:v>163439.38500000001</c:v>
                </c:pt>
                <c:pt idx="2">
                  <c:v>167334.47999999998</c:v>
                </c:pt>
                <c:pt idx="3">
                  <c:v>69426</c:v>
                </c:pt>
                <c:pt idx="4">
                  <c:v>91080.38</c:v>
                </c:pt>
                <c:pt idx="5">
                  <c:v>76271.959999999992</c:v>
                </c:pt>
                <c:pt idx="6">
                  <c:v>179870.30000000005</c:v>
                </c:pt>
                <c:pt idx="7">
                  <c:v>453491.63000000006</c:v>
                </c:pt>
                <c:pt idx="8">
                  <c:v>361757.92499999999</c:v>
                </c:pt>
                <c:pt idx="9">
                  <c:v>332793.48000000004</c:v>
                </c:pt>
                <c:pt idx="10">
                  <c:v>443043.54000000004</c:v>
                </c:pt>
                <c:pt idx="11">
                  <c:v>732409.23499999987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68-4D17-B56E-A211F4F9EC7A}"/>
            </c:ext>
          </c:extLst>
        </c:ser>
        <c:ser>
          <c:idx val="4"/>
          <c:order val="4"/>
          <c:tx>
            <c:strRef>
              <c:f>report_table!$G$3</c:f>
              <c:strCache>
                <c:ptCount val="1"/>
                <c:pt idx="0">
                  <c:v>IMPORTS FROM ALBANIA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report_table!$G$4:$G$15</c:f>
              <c:numCache>
                <c:formatCode>_-* #,##0\ _€_-;\-* #,##0\ _€_-;_-* "-"??\ _€_-;_-@_-</c:formatCode>
                <c:ptCount val="12"/>
                <c:pt idx="0">
                  <c:v>199236.19</c:v>
                </c:pt>
                <c:pt idx="1">
                  <c:v>223866.31</c:v>
                </c:pt>
                <c:pt idx="2">
                  <c:v>226645.84499999997</c:v>
                </c:pt>
                <c:pt idx="3">
                  <c:v>318072.27000000014</c:v>
                </c:pt>
                <c:pt idx="4">
                  <c:v>427088.07</c:v>
                </c:pt>
                <c:pt idx="5">
                  <c:v>417459.22</c:v>
                </c:pt>
                <c:pt idx="6">
                  <c:v>318385.46000000002</c:v>
                </c:pt>
                <c:pt idx="7">
                  <c:v>305372.34999999998</c:v>
                </c:pt>
                <c:pt idx="8">
                  <c:v>228914.71000000002</c:v>
                </c:pt>
                <c:pt idx="9">
                  <c:v>391394.1</c:v>
                </c:pt>
                <c:pt idx="10">
                  <c:v>393821.76</c:v>
                </c:pt>
                <c:pt idx="11">
                  <c:v>405259.59000000032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68-4D17-B56E-A211F4F9EC7A}"/>
            </c:ext>
          </c:extLst>
        </c:ser>
        <c:ser>
          <c:idx val="5"/>
          <c:order val="5"/>
          <c:tx>
            <c:strRef>
              <c:f>report_table!$H$3</c:f>
              <c:strCache>
                <c:ptCount val="1"/>
                <c:pt idx="0">
                  <c:v>EXPORTS TO ALBANIA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report_table!$H$4:$H$15</c:f>
              <c:numCache>
                <c:formatCode>_-* #,##0\ _€_-;\-* #,##0\ _€_-;_-* "-"??\ _€_-;_-@_-</c:formatCode>
                <c:ptCount val="12"/>
                <c:pt idx="0">
                  <c:v>364038.07</c:v>
                </c:pt>
                <c:pt idx="1">
                  <c:v>257005.53000000003</c:v>
                </c:pt>
                <c:pt idx="2">
                  <c:v>173034.99000000005</c:v>
                </c:pt>
                <c:pt idx="3">
                  <c:v>76475.070000000007</c:v>
                </c:pt>
                <c:pt idx="4">
                  <c:v>81214.065000000002</c:v>
                </c:pt>
                <c:pt idx="5">
                  <c:v>230300.35000000003</c:v>
                </c:pt>
                <c:pt idx="6">
                  <c:v>311295.62000000017</c:v>
                </c:pt>
                <c:pt idx="7">
                  <c:v>372450.69999999995</c:v>
                </c:pt>
                <c:pt idx="8">
                  <c:v>971947.87</c:v>
                </c:pt>
                <c:pt idx="9">
                  <c:v>374170.33</c:v>
                </c:pt>
                <c:pt idx="10">
                  <c:v>417775.69</c:v>
                </c:pt>
                <c:pt idx="11">
                  <c:v>318734.76999999996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68-4D17-B56E-A211F4F9EC7A}"/>
            </c:ext>
          </c:extLst>
        </c:ser>
        <c:ser>
          <c:idx val="6"/>
          <c:order val="6"/>
          <c:tx>
            <c:strRef>
              <c:f>report_table!$I$3</c:f>
              <c:strCache>
                <c:ptCount val="1"/>
                <c:pt idx="0">
                  <c:v>IMPORTS FROM NORTH MACEDONIA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report_table!$I$4:$I$15</c:f>
              <c:numCache>
                <c:formatCode>_-* #,##0\ _€_-;\-* #,##0\ _€_-;_-* "-"??\ _€_-;_-@_-</c:formatCode>
                <c:ptCount val="12"/>
                <c:pt idx="0">
                  <c:v>255252.995</c:v>
                </c:pt>
                <c:pt idx="1">
                  <c:v>303518.37</c:v>
                </c:pt>
                <c:pt idx="2">
                  <c:v>434753.34999999992</c:v>
                </c:pt>
                <c:pt idx="3">
                  <c:v>667888.93999999994</c:v>
                </c:pt>
                <c:pt idx="4">
                  <c:v>1052129.875</c:v>
                </c:pt>
                <c:pt idx="5">
                  <c:v>788826.39</c:v>
                </c:pt>
                <c:pt idx="6">
                  <c:v>655995.27999999991</c:v>
                </c:pt>
                <c:pt idx="7">
                  <c:v>716690.34</c:v>
                </c:pt>
                <c:pt idx="8">
                  <c:v>641959.43000000017</c:v>
                </c:pt>
                <c:pt idx="9">
                  <c:v>791982.15000000014</c:v>
                </c:pt>
                <c:pt idx="10">
                  <c:v>873549.44999999984</c:v>
                </c:pt>
                <c:pt idx="11">
                  <c:v>1025915.3399999999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168-4D17-B56E-A211F4F9EC7A}"/>
            </c:ext>
          </c:extLst>
        </c:ser>
        <c:ser>
          <c:idx val="7"/>
          <c:order val="7"/>
          <c:tx>
            <c:strRef>
              <c:f>report_table!$J$3</c:f>
              <c:strCache>
                <c:ptCount val="1"/>
                <c:pt idx="0">
                  <c:v>EXPORTS TO NORTH MACEDONIA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report_table!$J$4:$J$15</c:f>
              <c:numCache>
                <c:formatCode>_-* #,##0\ _€_-;\-* #,##0\ _€_-;_-* "-"??\ _€_-;_-@_-</c:formatCode>
                <c:ptCount val="12"/>
                <c:pt idx="0">
                  <c:v>418548.82</c:v>
                </c:pt>
                <c:pt idx="1">
                  <c:v>289109.96000000002</c:v>
                </c:pt>
                <c:pt idx="2">
                  <c:v>113530.13</c:v>
                </c:pt>
                <c:pt idx="3">
                  <c:v>51276.245000000003</c:v>
                </c:pt>
                <c:pt idx="4">
                  <c:v>46150.37</c:v>
                </c:pt>
                <c:pt idx="5">
                  <c:v>179340.31</c:v>
                </c:pt>
                <c:pt idx="6">
                  <c:v>158056.94</c:v>
                </c:pt>
                <c:pt idx="7">
                  <c:v>377386.64</c:v>
                </c:pt>
                <c:pt idx="8">
                  <c:v>369767.55</c:v>
                </c:pt>
                <c:pt idx="9">
                  <c:v>366203.22</c:v>
                </c:pt>
                <c:pt idx="10">
                  <c:v>497855.76</c:v>
                </c:pt>
                <c:pt idx="11">
                  <c:v>442376.73000000004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168-4D17-B56E-A211F4F9EC7A}"/>
            </c:ext>
          </c:extLst>
        </c:ser>
        <c:ser>
          <c:idx val="8"/>
          <c:order val="8"/>
          <c:tx>
            <c:strRef>
              <c:f>report_table!$K$3</c:f>
              <c:strCache>
                <c:ptCount val="1"/>
                <c:pt idx="0">
                  <c:v>IMPORTS FROM TURKEY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report_table!$K$4:$K$15</c:f>
              <c:numCache>
                <c:formatCode>_-* #,##0\ _€_-;\-* #,##0\ _€_-;_-* "-"??\ _€_-;_-@_-</c:formatCode>
                <c:ptCount val="12"/>
                <c:pt idx="0">
                  <c:v>1267882.5700000003</c:v>
                </c:pt>
                <c:pt idx="1">
                  <c:v>1267882.5700000003</c:v>
                </c:pt>
                <c:pt idx="2">
                  <c:v>1267882.6100000003</c:v>
                </c:pt>
                <c:pt idx="3">
                  <c:v>1267882.6450000003</c:v>
                </c:pt>
                <c:pt idx="4">
                  <c:v>1267882.6400000001</c:v>
                </c:pt>
                <c:pt idx="5">
                  <c:v>1267888.0300000003</c:v>
                </c:pt>
                <c:pt idx="6">
                  <c:v>1267882.5900000003</c:v>
                </c:pt>
                <c:pt idx="7">
                  <c:v>1267882.5900000003</c:v>
                </c:pt>
                <c:pt idx="8">
                  <c:v>1267882.5400000003</c:v>
                </c:pt>
                <c:pt idx="9">
                  <c:v>1269789.3200000003</c:v>
                </c:pt>
                <c:pt idx="10">
                  <c:v>1275491.8500000003</c:v>
                </c:pt>
                <c:pt idx="11">
                  <c:v>1273447.7100000002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68-4D17-B56E-A211F4F9EC7A}"/>
            </c:ext>
          </c:extLst>
        </c:ser>
        <c:ser>
          <c:idx val="9"/>
          <c:order val="9"/>
          <c:tx>
            <c:strRef>
              <c:f>report_table!$L$3</c:f>
              <c:strCache>
                <c:ptCount val="1"/>
                <c:pt idx="0">
                  <c:v>EXPORTS TO TURKEY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report_table!$B$4:$B$15</c:f>
              <c:strCache>
                <c:ptCount val="12"/>
                <c:pt idx="0">
                  <c:v>Jan-22</c:v>
                </c:pt>
                <c:pt idx="1">
                  <c:v>Feb-22</c:v>
                </c:pt>
                <c:pt idx="2">
                  <c:v>Mar-22</c:v>
                </c:pt>
                <c:pt idx="3">
                  <c:v>Apr-22</c:v>
                </c:pt>
                <c:pt idx="4">
                  <c:v>May-22</c:v>
                </c:pt>
                <c:pt idx="5">
                  <c:v>Jun-22</c:v>
                </c:pt>
                <c:pt idx="6">
                  <c:v>Jul-22</c:v>
                </c:pt>
                <c:pt idx="7">
                  <c:v>Aug-22</c:v>
                </c:pt>
                <c:pt idx="8">
                  <c:v>Sep-22</c:v>
                </c:pt>
                <c:pt idx="9">
                  <c:v>Oct-22</c:v>
                </c:pt>
                <c:pt idx="10">
                  <c:v>Nov-22</c:v>
                </c:pt>
                <c:pt idx="11">
                  <c:v>Dec-22</c:v>
                </c:pt>
              </c:strCache>
            </c:strRef>
          </c:cat>
          <c:val>
            <c:numRef>
              <c:f>report_table!$L$4:$L$15</c:f>
              <c:numCache>
                <c:formatCode>_-* #,##0\ _€_-;\-* #,##0\ _€_-;_-* "-"??\ _€_-;_-@_-</c:formatCode>
                <c:ptCount val="12"/>
                <c:pt idx="0">
                  <c:v>2512.0500000000002</c:v>
                </c:pt>
                <c:pt idx="1">
                  <c:v>2948.62</c:v>
                </c:pt>
                <c:pt idx="2">
                  <c:v>1780.55</c:v>
                </c:pt>
                <c:pt idx="3">
                  <c:v>12075.55</c:v>
                </c:pt>
                <c:pt idx="4">
                  <c:v>1329.25</c:v>
                </c:pt>
                <c:pt idx="5">
                  <c:v>1381.24</c:v>
                </c:pt>
                <c:pt idx="6">
                  <c:v>1233.23</c:v>
                </c:pt>
                <c:pt idx="7">
                  <c:v>2648.3</c:v>
                </c:pt>
                <c:pt idx="8">
                  <c:v>1311.9</c:v>
                </c:pt>
                <c:pt idx="9">
                  <c:v>50876.34500000003</c:v>
                </c:pt>
                <c:pt idx="10">
                  <c:v>52510.89</c:v>
                </c:pt>
                <c:pt idx="11">
                  <c:v>66623.469999999987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168-4D17-B56E-A211F4F9E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1409184"/>
        <c:axId val="1071409536"/>
      </c:barChart>
      <c:catAx>
        <c:axId val="107140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71409536"/>
        <c:crosses val="autoZero"/>
        <c:auto val="1"/>
        <c:lblAlgn val="ctr"/>
        <c:lblOffset val="100"/>
        <c:noMultiLvlLbl val="1"/>
      </c:catAx>
      <c:valAx>
        <c:axId val="10714095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€_-;\-* #,##0\ _€_-;_-* &quot;-&quot;??\ _€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7140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1123764273720783E-2"/>
          <c:y val="0.14549025070947247"/>
          <c:w val="0.89022372944671779"/>
          <c:h val="0.1729326585528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365B-3A9C-483C-8DCF-23F8E3F0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754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KHLKA</vt:lpstr>
      <vt:lpstr>KHLKA</vt:lpstr>
    </vt:vector>
  </TitlesOfParts>
  <Company> </Company>
  <LinksUpToDate>false</LinksUpToDate>
  <CharactersWithSpaces>4817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http://www.rae.gr/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mailto:info@rae.gr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KHLKA</dc:title>
  <dc:subject/>
  <dc:creator>megali</dc:creator>
  <cp:keywords/>
  <cp:lastModifiedBy>Filipos Kontogiannis</cp:lastModifiedBy>
  <cp:revision>73</cp:revision>
  <cp:lastPrinted>2019-08-02T11:35:00Z</cp:lastPrinted>
  <dcterms:created xsi:type="dcterms:W3CDTF">2021-03-03T12:20:00Z</dcterms:created>
  <dcterms:modified xsi:type="dcterms:W3CDTF">2023-03-29T10:11:00Z</dcterms:modified>
</cp:coreProperties>
</file>